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宋体" w:hAnsi="宋体" w:eastAsia="方正小标宋_GBK" w:cs="Times New Roman"/>
          <w:color w:val="auto"/>
          <w:sz w:val="44"/>
          <w:szCs w:val="44"/>
          <w:lang w:val="en-US" w:eastAsia="zh-CN"/>
        </w:rPr>
      </w:pPr>
      <w:r>
        <w:rPr>
          <w:rFonts w:hint="eastAsia" w:ascii="宋体" w:hAnsi="宋体" w:eastAsia="方正小标宋_GBK" w:cs="Times New Roman"/>
          <w:color w:val="auto"/>
          <w:sz w:val="44"/>
          <w:szCs w:val="44"/>
          <w:lang w:val="en-US" w:eastAsia="zh-CN"/>
        </w:rPr>
        <w:t>2024年临翔区社会保险基金预算收支科目变动说明</w:t>
      </w:r>
    </w:p>
    <w:p>
      <w:pPr>
        <w:spacing w:line="540" w:lineRule="exact"/>
        <w:rPr>
          <w:rFonts w:hint="eastAsia" w:ascii="宋体" w:hAnsi="宋体" w:eastAsia="方正仿宋_GBK" w:cs="Times New Roman"/>
          <w:color w:val="auto"/>
          <w:sz w:val="32"/>
          <w:szCs w:val="32"/>
          <w:lang w:val="en-US" w:eastAsia="zh-CN"/>
        </w:rPr>
      </w:pPr>
    </w:p>
    <w:p>
      <w:pPr>
        <w:spacing w:line="540" w:lineRule="exact"/>
        <w:ind w:firstLine="640" w:firstLineChars="200"/>
        <w:rPr>
          <w:rFonts w:hint="eastAsia" w:ascii="宋体" w:hAnsi="宋体" w:eastAsia="方正仿宋_GBK" w:cs="Times New Roman"/>
          <w:color w:val="auto"/>
          <w:sz w:val="32"/>
          <w:szCs w:val="32"/>
          <w:lang w:val="en-US" w:eastAsia="zh-CN"/>
        </w:rPr>
      </w:pPr>
      <w:r>
        <w:rPr>
          <w:rFonts w:hint="eastAsia" w:ascii="宋体" w:hAnsi="宋体" w:eastAsia="方正仿宋_GBK" w:cs="Times New Roman"/>
          <w:color w:val="auto"/>
          <w:sz w:val="32"/>
          <w:szCs w:val="32"/>
          <w:lang w:val="en-US" w:eastAsia="zh-CN"/>
        </w:rPr>
        <w:t>临翔区社会保险收支为各项基金收支合计数之和，包含上级补助收入及上解上级支出。</w:t>
      </w:r>
    </w:p>
    <w:p>
      <w:pPr>
        <w:spacing w:line="540" w:lineRule="exact"/>
        <w:ind w:firstLine="640" w:firstLineChars="200"/>
        <w:rPr>
          <w:rFonts w:hint="eastAsia" w:ascii="宋体" w:hAnsi="宋体" w:eastAsia="方正仿宋_GBK" w:cs="Times New Roman"/>
          <w:color w:val="auto"/>
          <w:sz w:val="32"/>
          <w:szCs w:val="32"/>
          <w:lang w:val="en-US" w:eastAsia="zh-CN"/>
        </w:rPr>
      </w:pPr>
      <w:r>
        <w:rPr>
          <w:rFonts w:hint="eastAsia" w:ascii="宋体" w:hAnsi="宋体" w:eastAsia="黑体" w:cs="黑体"/>
          <w:color w:val="auto"/>
          <w:sz w:val="32"/>
          <w:szCs w:val="32"/>
          <w:lang w:val="en-US" w:eastAsia="zh-CN"/>
        </w:rPr>
        <w:t>一、企业职工基本养老保险、收支变动的主要原因：</w:t>
      </w:r>
      <w:r>
        <w:rPr>
          <w:rFonts w:hint="eastAsia" w:ascii="宋体" w:hAnsi="宋体" w:eastAsia="方正仿宋_GBK" w:cs="Times New Roman"/>
          <w:color w:val="auto"/>
          <w:sz w:val="32"/>
          <w:szCs w:val="32"/>
          <w:lang w:val="en-US" w:eastAsia="zh-CN"/>
        </w:rPr>
        <w:t>一是随着社会进步，人们的生活水平越来越好，参保缴费人员大部分选择高档次缴费；</w:t>
      </w:r>
      <w:bookmarkStart w:id="0" w:name="_GoBack"/>
      <w:bookmarkEnd w:id="0"/>
      <w:r>
        <w:rPr>
          <w:rFonts w:hint="eastAsia" w:ascii="宋体" w:hAnsi="宋体" w:eastAsia="方正仿宋_GBK" w:cs="Times New Roman"/>
          <w:color w:val="auto"/>
          <w:sz w:val="32"/>
          <w:szCs w:val="32"/>
          <w:lang w:val="en-US" w:eastAsia="zh-CN"/>
        </w:rPr>
        <w:t>二是于2023年上年在岗职工月平均工资为6906元，2024年上年在岗职工月平均工资为7177元，比上年增271元，增幅为3.9%，以上因素叠加影响，致企业职工基本养老保险费保费收入增长。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方正仿宋_GBK" w:cs="Times New Roman"/>
          <w:color w:val="auto"/>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工伤保险</w:t>
      </w:r>
      <w:r>
        <w:rPr>
          <w:rFonts w:hint="eastAsia" w:ascii="黑体" w:hAnsi="黑体" w:eastAsia="黑体" w:cs="黑体"/>
          <w:color w:val="000000" w:themeColor="text1"/>
          <w:sz w:val="32"/>
          <w:szCs w:val="32"/>
          <w:lang w:val="en-US" w:eastAsia="zh-CN"/>
          <w14:textFill>
            <w14:solidFill>
              <w14:schemeClr w14:val="tx1"/>
            </w14:solidFill>
          </w14:textFill>
        </w:rPr>
        <w:t>收支变动的主要</w:t>
      </w:r>
      <w:r>
        <w:rPr>
          <w:rFonts w:hint="eastAsia" w:ascii="黑体" w:hAnsi="黑体" w:eastAsia="黑体" w:cs="黑体"/>
          <w:color w:val="000000" w:themeColor="text1"/>
          <w:sz w:val="32"/>
          <w:szCs w:val="32"/>
          <w:lang w:eastAsia="zh-CN"/>
          <w14:textFill>
            <w14:solidFill>
              <w14:schemeClr w14:val="tx1"/>
            </w14:solidFill>
          </w14:textFill>
        </w:rPr>
        <w:t>原因：</w:t>
      </w:r>
      <w:r>
        <w:rPr>
          <w:rFonts w:hint="eastAsia" w:ascii="宋体" w:hAnsi="宋体" w:eastAsia="方正仿宋_GBK" w:cs="Times New Roman"/>
          <w:color w:val="auto"/>
          <w:sz w:val="32"/>
          <w:szCs w:val="32"/>
          <w:lang w:val="en-US" w:eastAsia="zh-CN"/>
        </w:rPr>
        <w:t>2024年用人单位加强了安全教育培训及采取了一系列工伤预防措施，减少或避免在工作环境中发生事故和职业病，保障员工的身体健康和安全，所以2024年实际只支付3人工亡待遇，比预算少支付1人，工伤保险待遇支出及上级补助收入减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三、机关事业养老保险收支变动的主要原因：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是财政加大投入保障，财政补贴收入较往年增长。二是补发2024年度调待增资增加及从2023年8月起，享受退休待遇的人员采用新办法进行退休待遇计发，截止2024年12月采用新办法计发324人，新办法比老办法的人均多增长1156.07元，综以上因素，导致当年基本养老金支出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eastAsia" w:ascii="黑体" w:hAnsi="黑体" w:eastAsia="黑体" w:cs="黑体"/>
          <w:color w:val="000000" w:themeColor="text1"/>
          <w:sz w:val="32"/>
          <w:szCs w:val="32"/>
          <w:lang w:eastAsia="zh-CN"/>
          <w14:textFill>
            <w14:solidFill>
              <w14:schemeClr w14:val="tx1"/>
            </w14:solidFill>
          </w14:textFill>
        </w:rPr>
        <w:t>城乡居民基本养老保险</w:t>
      </w:r>
      <w:r>
        <w:rPr>
          <w:rFonts w:hint="eastAsia" w:ascii="黑体" w:hAnsi="黑体" w:eastAsia="黑体" w:cs="黑体"/>
          <w:color w:val="000000" w:themeColor="text1"/>
          <w:sz w:val="32"/>
          <w:szCs w:val="32"/>
          <w:lang w:val="en-US" w:eastAsia="zh-CN"/>
          <w14:textFill>
            <w14:solidFill>
              <w14:schemeClr w14:val="tx1"/>
            </w14:solidFill>
          </w14:textFill>
        </w:rPr>
        <w:t>收支变动的主要原因：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是由于2023年财政补贴收入结余147.65万元，根据清算情况，2024年区级财政对社保基金的补助少执行147.65万元，致财政补助收入减少。二是根据《临沧市人民政府办公室关于印发临沧市城乡居民基本养老保险基金市级统筹实施办法的通知》临政办字</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16号文件要求，2024年起城乡居民养老保险市级统筹，执行收支两条线管理，区级按季向市级请拨待遇支付资金，按月上解城乡居民养老保险各项收入，上级补助收入及上解上级支出较往年增长较大。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w:t>
      </w:r>
      <w:r>
        <w:rPr>
          <w:rFonts w:hint="eastAsia" w:ascii="黑体" w:hAnsi="黑体" w:eastAsia="黑体" w:cs="黑体"/>
          <w:color w:val="000000" w:themeColor="text1"/>
          <w:sz w:val="32"/>
          <w:szCs w:val="32"/>
          <w:lang w:eastAsia="zh-CN"/>
          <w14:textFill>
            <w14:solidFill>
              <w14:schemeClr w14:val="tx1"/>
            </w14:solidFill>
          </w14:textFill>
        </w:rPr>
        <w:t>失业保险基金</w:t>
      </w:r>
      <w:r>
        <w:rPr>
          <w:rFonts w:hint="eastAsia" w:ascii="黑体" w:hAnsi="黑体" w:eastAsia="黑体" w:cs="黑体"/>
          <w:color w:val="000000" w:themeColor="text1"/>
          <w:sz w:val="32"/>
          <w:szCs w:val="32"/>
          <w:lang w:val="en-US" w:eastAsia="zh-CN"/>
          <w14:textFill>
            <w14:solidFill>
              <w14:schemeClr w14:val="tx1"/>
            </w14:solidFill>
          </w14:textFill>
        </w:rPr>
        <w:t>收支变动的主要原因：</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根据《云南省人民政府办公厅关于建立失业保险省级统筹制度的意见》（云政办发〔2023〕37号文件,失业保险自2023年12月1日实行省级统收统支,实行收支两条线管理，基金收入按月上解市级财政部门,支出省级按月拨付,</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帐户结余资金比上年同期减少，利息收入也随之减少。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六、城乡居民医疗保险收支变动的</w:t>
      </w:r>
      <w:r>
        <w:rPr>
          <w:rFonts w:hint="eastAsia" w:ascii="黑体" w:hAnsi="黑体" w:eastAsia="黑体" w:cs="黑体"/>
          <w:color w:val="000000" w:themeColor="text1"/>
          <w:sz w:val="32"/>
          <w:szCs w:val="32"/>
          <w:lang w:val="en-US" w:eastAsia="zh-CN"/>
          <w14:textFill>
            <w14:solidFill>
              <w14:schemeClr w14:val="tx1"/>
            </w14:solidFill>
          </w14:textFill>
        </w:rPr>
        <w:t>主要</w:t>
      </w:r>
      <w:r>
        <w:rPr>
          <w:rFonts w:hint="eastAsia" w:ascii="黑体" w:hAnsi="黑体" w:eastAsia="黑体" w:cs="黑体"/>
          <w:color w:val="000000" w:themeColor="text1"/>
          <w:sz w:val="32"/>
          <w:szCs w:val="32"/>
          <w:lang w:eastAsia="zh-CN"/>
          <w14:textFill>
            <w14:solidFill>
              <w14:schemeClr w14:val="tx1"/>
            </w14:solidFill>
          </w14:textFill>
        </w:rPr>
        <w:t>原因：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2024动，未纳入监测对象的脱贫人口资助</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标准降低</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，故医疗救助资助及财政代缴收入</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减少</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是因医保更换新系统，2024年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清算支付</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2023年待遇支出8142.98万元，</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医疗保险待遇支出较往年增长。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七、城镇职工基本医疗保险收支变动的主要原因：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一是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因社会平均工资增加，人均生育津贴也相应增加，且2024年生育人数较2023年有所增加。</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二是</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因医保更换新系统，2021年9月-2023年12月未进行个人账户异地清算，于2024年进行个人账户异地清算，共计上划市局个人账户异地清算基金2500万。</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上解上级支出增长。</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MzI3M2MzNzYzNzM4MGYzNmUzYjBkZjY2OThiZTMifQ=="/>
  </w:docVars>
  <w:rsids>
    <w:rsidRoot w:val="009E2E13"/>
    <w:rsid w:val="00047D24"/>
    <w:rsid w:val="00064B4A"/>
    <w:rsid w:val="00130659"/>
    <w:rsid w:val="001357F1"/>
    <w:rsid w:val="001819A5"/>
    <w:rsid w:val="00196DC0"/>
    <w:rsid w:val="002B7513"/>
    <w:rsid w:val="002C7467"/>
    <w:rsid w:val="00361F48"/>
    <w:rsid w:val="0054009A"/>
    <w:rsid w:val="00621ECE"/>
    <w:rsid w:val="0066337C"/>
    <w:rsid w:val="007C5086"/>
    <w:rsid w:val="007E446F"/>
    <w:rsid w:val="00822619"/>
    <w:rsid w:val="00882FA2"/>
    <w:rsid w:val="009E2E13"/>
    <w:rsid w:val="00A41852"/>
    <w:rsid w:val="00AA5319"/>
    <w:rsid w:val="00AD2E8E"/>
    <w:rsid w:val="00AE0F34"/>
    <w:rsid w:val="00D149AA"/>
    <w:rsid w:val="00DF4100"/>
    <w:rsid w:val="00E358F0"/>
    <w:rsid w:val="00F07E29"/>
    <w:rsid w:val="183D6331"/>
    <w:rsid w:val="19C0557F"/>
    <w:rsid w:val="1AED4AA9"/>
    <w:rsid w:val="271347A2"/>
    <w:rsid w:val="3DA51227"/>
    <w:rsid w:val="430F4E23"/>
    <w:rsid w:val="46E518FD"/>
    <w:rsid w:val="5AEE71ED"/>
    <w:rsid w:val="5E091334"/>
    <w:rsid w:val="5EA7051F"/>
    <w:rsid w:val="6513522A"/>
    <w:rsid w:val="65A55204"/>
    <w:rsid w:val="6B8071CB"/>
    <w:rsid w:val="735D2FC3"/>
    <w:rsid w:val="739D65B1"/>
    <w:rsid w:val="7E70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spacing w:line="0" w:lineRule="atLeast"/>
      <w:ind w:firstLine="0" w:firstLineChars="0"/>
      <w:jc w:val="center"/>
      <w:outlineLvl w:val="1"/>
    </w:pPr>
    <w:rPr>
      <w:rFonts w:ascii="Times New Roman" w:hAnsi="Times New Roman"/>
      <w:sz w:val="28"/>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16F235-3F67-4717-8758-87982F01AE65}">
  <ds:schemaRefs/>
</ds:datastoreItem>
</file>

<file path=docProps/app.xml><?xml version="1.0" encoding="utf-8"?>
<Properties xmlns="http://schemas.openxmlformats.org/officeDocument/2006/extended-properties" xmlns:vt="http://schemas.openxmlformats.org/officeDocument/2006/docPropsVTypes">
  <Template>Normal</Template>
  <Pages>3</Pages>
  <Words>151</Words>
  <Characters>867</Characters>
  <Lines>7</Lines>
  <Paragraphs>2</Paragraphs>
  <TotalTime>24</TotalTime>
  <ScaleCrop>false</ScaleCrop>
  <LinksUpToDate>false</LinksUpToDate>
  <CharactersWithSpaces>1016</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2023-08-25T08:16:00Z</dcterms:created>
  <dc:creator>DELL</dc:creator>
  <cp:lastModifiedBy>DELL</cp:lastModifiedBy>
  <dcterms:modified xsi:type="dcterms:W3CDTF">2025-08-27T08:15:04Z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064BF953B7F7405FB6AC8959A14F110B_12</vt:lpwstr>
  </property>
</Properties>
</file>