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p>
    <w:p>
      <w:pPr>
        <w:spacing w:after="156" w:afterLines="50" w:line="540" w:lineRule="exact"/>
        <w:jc w:val="center"/>
        <w:outlineLvl w:val="0"/>
        <w:rPr>
          <w:rFonts w:hint="eastAsia"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hint="eastAsia"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hint="eastAsia" w:ascii="宋体" w:hAnsi="宋体" w:cs="宋体"/>
          <w:color w:val="FF0000"/>
          <w:sz w:val="28"/>
          <w:szCs w:val="28"/>
        </w:rPr>
      </w:pP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历史文化街区、名镇、名村核心保护范围内拆除历史建筑以外的建筑物、构筑物或者其他设施审批</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市</w:t>
      </w:r>
      <w:r>
        <w:rPr>
          <w:rFonts w:hint="eastAsia" w:ascii="方正仿宋_GBK" w:hAnsi="方正仿宋_GBK" w:eastAsia="方正仿宋_GBK" w:cs="方正仿宋_GBK"/>
          <w:sz w:val="28"/>
          <w:szCs w:val="28"/>
        </w:rPr>
        <w:t>住房城乡建设</w:t>
      </w:r>
      <w:r>
        <w:rPr>
          <w:rFonts w:hint="eastAsia" w:ascii="方正仿宋_GBK" w:hAnsi="方正仿宋_GBK" w:eastAsia="方正仿宋_GBK" w:cs="方正仿宋_GBK"/>
          <w:sz w:val="28"/>
          <w:szCs w:val="28"/>
          <w:lang w:eastAsia="zh-CN"/>
        </w:rPr>
        <w:t>局</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lang w:eastAsia="zh-CN"/>
        </w:rPr>
        <w:t>住房城乡建设局会同文化和旅游部门</w:t>
      </w:r>
    </w:p>
    <w:p>
      <w:pPr>
        <w:spacing w:line="540" w:lineRule="exact"/>
        <w:ind w:firstLine="420"/>
        <w:outlineLvl w:val="1"/>
        <w:rPr>
          <w:rFonts w:hint="eastAsia"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《历史文化名城名镇名村保护条例》</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无</w:t>
      </w:r>
    </w:p>
    <w:p>
      <w:pPr>
        <w:spacing w:line="540" w:lineRule="exact"/>
        <w:ind w:firstLine="420"/>
        <w:outlineLvl w:val="1"/>
        <w:rPr>
          <w:rFonts w:hint="eastAsia" w:ascii="方正仿宋_GBK" w:hAnsi="方正仿宋_GBK" w:eastAsia="方正仿宋_GBK" w:cs="方正仿宋_GBK"/>
          <w:sz w:val="28"/>
          <w:szCs w:val="28"/>
          <w:lang w:val="en-US" w:eastAsia="zh-CN"/>
        </w:rPr>
      </w:pPr>
    </w:p>
    <w:p>
      <w:pPr>
        <w:spacing w:line="540" w:lineRule="exact"/>
        <w:ind w:firstLine="420"/>
        <w:outlineLvl w:val="1"/>
        <w:rPr>
          <w:rFonts w:hint="eastAsia" w:ascii="方正仿宋_GBK" w:hAnsi="方正仿宋_GBK" w:eastAsia="方正仿宋_GBK" w:cs="方正仿宋_GBK"/>
          <w:sz w:val="28"/>
          <w:szCs w:val="28"/>
          <w:lang w:val="en-US" w:eastAsia="zh-CN"/>
        </w:rPr>
      </w:pPr>
    </w:p>
    <w:p>
      <w:pPr>
        <w:spacing w:line="540" w:lineRule="exact"/>
        <w:ind w:firstLine="420"/>
        <w:outlineLvl w:val="1"/>
        <w:rPr>
          <w:rFonts w:hint="eastAsia" w:ascii="方正仿宋_GBK" w:hAnsi="方正仿宋_GBK" w:eastAsia="方正仿宋_GBK" w:cs="方正仿宋_GBK"/>
          <w:sz w:val="28"/>
          <w:szCs w:val="28"/>
          <w:lang w:val="en-US" w:eastAsia="zh-CN"/>
        </w:rPr>
      </w:pPr>
    </w:p>
    <w:p>
      <w:pPr>
        <w:spacing w:line="540" w:lineRule="exact"/>
        <w:ind w:firstLine="420"/>
        <w:outlineLvl w:val="1"/>
        <w:rPr>
          <w:rFonts w:hint="eastAsia" w:ascii="方正仿宋_GBK" w:hAnsi="方正仿宋_GBK" w:eastAsia="方正仿宋_GBK" w:cs="方正仿宋_GBK"/>
          <w:sz w:val="28"/>
          <w:szCs w:val="28"/>
          <w:lang w:val="en-US" w:eastAsia="zh-CN"/>
        </w:rPr>
      </w:pPr>
    </w:p>
    <w:p>
      <w:pPr>
        <w:spacing w:line="540" w:lineRule="exact"/>
        <w:ind w:firstLine="420"/>
        <w:outlineLvl w:val="1"/>
        <w:rPr>
          <w:rFonts w:hint="eastAsia" w:ascii="方正仿宋_GBK" w:hAnsi="方正仿宋_GBK" w:eastAsia="方正仿宋_GBK" w:cs="方正仿宋_GBK"/>
          <w:sz w:val="28"/>
          <w:szCs w:val="28"/>
          <w:lang w:val="en-US" w:eastAsia="zh-CN"/>
        </w:rPr>
      </w:pPr>
    </w:p>
    <w:p>
      <w:pPr>
        <w:spacing w:line="540" w:lineRule="exact"/>
        <w:ind w:firstLine="420"/>
        <w:outlineLvl w:val="1"/>
        <w:rPr>
          <w:rFonts w:hint="eastAsia" w:ascii="方正仿宋_GBK" w:hAnsi="方正仿宋_GBK" w:eastAsia="方正仿宋_GBK" w:cs="方正仿宋_GBK"/>
          <w:sz w:val="28"/>
          <w:szCs w:val="28"/>
          <w:lang w:val="en-US" w:eastAsia="zh-CN"/>
        </w:rPr>
      </w:pPr>
    </w:p>
    <w:p>
      <w:pPr>
        <w:spacing w:line="540" w:lineRule="exact"/>
        <w:ind w:firstLine="420"/>
        <w:outlineLvl w:val="1"/>
        <w:rPr>
          <w:rFonts w:hint="eastAsia" w:ascii="方正仿宋_GBK" w:hAnsi="方正仿宋_GBK" w:eastAsia="方正仿宋_GBK" w:cs="方正仿宋_GBK"/>
          <w:sz w:val="28"/>
          <w:szCs w:val="28"/>
          <w:lang w:val="en-US" w:eastAsia="zh-CN"/>
        </w:rPr>
      </w:pPr>
    </w:p>
    <w:p>
      <w:pPr>
        <w:spacing w:line="540" w:lineRule="exact"/>
        <w:ind w:firstLine="420"/>
        <w:outlineLvl w:val="1"/>
        <w:rPr>
          <w:rFonts w:hint="eastAsia" w:ascii="方正仿宋_GBK" w:hAnsi="方正仿宋_GBK" w:eastAsia="方正仿宋_GBK" w:cs="方正仿宋_GBK"/>
          <w:sz w:val="28"/>
          <w:szCs w:val="28"/>
          <w:lang w:val="en-US" w:eastAsia="zh-CN"/>
        </w:rPr>
      </w:pPr>
      <w:bookmarkStart w:id="0" w:name="_GoBack"/>
      <w:bookmarkEnd w:id="0"/>
    </w:p>
    <w:p>
      <w:pPr>
        <w:spacing w:line="540" w:lineRule="exact"/>
        <w:ind w:firstLine="420"/>
        <w:outlineLvl w:val="1"/>
        <w:rPr>
          <w:rFonts w:hint="eastAsia" w:ascii="方正仿宋_GBK" w:hAnsi="方正仿宋_GBK" w:eastAsia="方正仿宋_GBK" w:cs="方正仿宋_GBK"/>
          <w:sz w:val="28"/>
          <w:szCs w:val="28"/>
          <w:lang w:val="en-US" w:eastAsia="zh-CN"/>
        </w:rPr>
      </w:pP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历史文化街区、名镇、名村核心保护范围内拆除历史建筑以外的建筑物、构筑物或者其他设施</w:t>
      </w:r>
    </w:p>
    <w:p>
      <w:pPr>
        <w:jc w:val="center"/>
        <w:rPr>
          <w:rFonts w:hint="eastAsia" w:ascii="方正小标宋_GBK" w:hAnsi="方正小标宋_GBK" w:eastAsia="方正小标宋_GBK" w:cs="方正小标宋_GBK"/>
          <w:sz w:val="40"/>
          <w:szCs w:val="40"/>
        </w:rPr>
      </w:pPr>
      <w:r>
        <w:rPr>
          <w:rFonts w:hint="eastAsia" w:ascii="方正小标宋简体" w:hAnsi="方正小标宋简体" w:eastAsia="方正小标宋简体" w:cs="方正小标宋简体"/>
          <w:sz w:val="40"/>
          <w:szCs w:val="40"/>
        </w:rPr>
        <w:t>审批</w:t>
      </w:r>
    </w:p>
    <w:p>
      <w:pPr>
        <w:jc w:val="center"/>
        <w:rPr>
          <w:rFonts w:hint="eastAsia"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【00011713400301】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hint="eastAsia" w:ascii="仿宋" w:hAnsi="仿宋" w:eastAsia="仿宋" w:cs="仿宋"/>
          <w:sz w:val="28"/>
          <w:szCs w:val="28"/>
        </w:rPr>
      </w:pPr>
      <w:r>
        <w:rPr>
          <w:rFonts w:hint="eastAsia" w:ascii="方正仿宋_GBK" w:hAnsi="方正仿宋_GBK" w:eastAsia="方正仿宋_GBK" w:cs="方正仿宋_GBK"/>
          <w:sz w:val="28"/>
          <w:szCs w:val="28"/>
        </w:rPr>
        <w:t>历史文化街区、名镇、名村核心保护范围内拆除历史建筑以外的建筑物、构筑物或者其他设施审批【00011713400Y】</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历史文化街区、名镇、名村核心保护范围内拆除历史建筑以外的建筑物、构筑物或者其他设施审批（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级权限）【000117134003】</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历史文化街区、名镇、名村核心保护范围内拆除历史建筑以外的建筑物、构筑物或者其他设施审批（</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rPr>
        <w:t>级权限）(00011713400301)</w:t>
      </w:r>
    </w:p>
    <w:p>
      <w:pPr>
        <w:spacing w:line="360" w:lineRule="auto"/>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（1）《历史文化名城名镇名村保护条例》第二十八条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（1）《历史文化名城名镇名村保护条例》第二十三条、第二十八条、第二十九条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（1）《历史文化名城名镇名村保护条例》第二十三条、</w:t>
      </w:r>
      <w:r>
        <w:rPr>
          <w:rFonts w:hint="eastAsia" w:ascii="方正仿宋_GBK" w:hAnsi="方正仿宋_GBK" w:eastAsia="方正仿宋_GBK" w:cs="方正仿宋_GBK"/>
          <w:sz w:val="28"/>
          <w:szCs w:val="28"/>
        </w:rPr>
        <w:t>第二十八条、</w:t>
      </w:r>
      <w:r>
        <w:rPr>
          <w:rFonts w:ascii="方正仿宋_GBK" w:hAnsi="方正仿宋_GBK" w:eastAsia="方正仿宋_GBK" w:cs="方正仿宋_GBK"/>
          <w:sz w:val="28"/>
          <w:szCs w:val="28"/>
        </w:rPr>
        <w:t>第二十九条</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（2）《历史文化名城名镇名村保护条例》第四十三条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（3）《云南省历史文化名城名镇名村名街保护条例》第二十五条</w:t>
      </w:r>
    </w:p>
    <w:p>
      <w:pPr>
        <w:spacing w:line="540" w:lineRule="exact"/>
        <w:ind w:firstLine="562" w:firstLineChars="200"/>
        <w:outlineLvl w:val="1"/>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lang w:eastAsia="zh-CN"/>
        </w:rPr>
        <w:t>住房城乡建设局会同文化和旅游部门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Times New Roman" w:hAnsi="Times New Roman" w:eastAsia="仿宋GB2312"/>
          <w:b w:val="0"/>
          <w:bCs w:val="0"/>
          <w:sz w:val="28"/>
          <w:szCs w:val="28"/>
          <w:lang w:val="en-US" w:eastAsia="zh-CN"/>
        </w:rPr>
        <w:t>区</w:t>
      </w:r>
      <w:r>
        <w:rPr>
          <w:rFonts w:ascii="方正仿宋_GBK" w:hAnsi="方正仿宋_GBK" w:eastAsia="方正仿宋_GBK" w:cs="方正仿宋_GBK"/>
          <w:sz w:val="28"/>
          <w:szCs w:val="28"/>
        </w:rPr>
        <w:t>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无对应政务服务事项</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 符合</w:t>
      </w:r>
      <w:r>
        <w:rPr>
          <w:rFonts w:hint="eastAsia" w:ascii="方正仿宋_GBK" w:hAnsi="方正仿宋_GBK" w:eastAsia="方正仿宋_GBK" w:cs="方正仿宋_GBK"/>
          <w:sz w:val="28"/>
          <w:szCs w:val="28"/>
        </w:rPr>
        <w:t>经批准的</w:t>
      </w:r>
      <w:r>
        <w:rPr>
          <w:rFonts w:ascii="方正仿宋_GBK" w:hAnsi="方正仿宋_GBK" w:eastAsia="方正仿宋_GBK" w:cs="方正仿宋_GBK"/>
          <w:sz w:val="28"/>
          <w:szCs w:val="28"/>
        </w:rPr>
        <w:t>历史文化</w:t>
      </w:r>
      <w:r>
        <w:rPr>
          <w:rFonts w:hint="eastAsia" w:ascii="方正仿宋_GBK" w:hAnsi="方正仿宋_GBK" w:eastAsia="方正仿宋_GBK" w:cs="方正仿宋_GBK"/>
          <w:sz w:val="28"/>
          <w:szCs w:val="28"/>
        </w:rPr>
        <w:t>名城、</w:t>
      </w:r>
      <w:r>
        <w:rPr>
          <w:rFonts w:ascii="方正仿宋_GBK" w:hAnsi="方正仿宋_GBK" w:eastAsia="方正仿宋_GBK" w:cs="方正仿宋_GBK"/>
          <w:sz w:val="28"/>
          <w:szCs w:val="28"/>
        </w:rPr>
        <w:t>街区、名镇、名村等保护规划。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 对历史文化街区、历史建筑的真实性、完整性不造成损害。</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 对历史文化名城、名镇、名村的传统格局和历史风貌不构成破坏性影响。</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 对利害关系人的权益不造成损害。</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 依法具有对拟拆除不动产的处置权。</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6. 符合《文物保护法》《历史文化名城名镇名村保护条例》《云南省历史文化名城名镇名村名街保护条例》《中共中央办公厅 国务院办公厅关于在城乡建设中加强历史文化保护传承的意见》《</w:t>
      </w:r>
      <w:r>
        <w:rPr>
          <w:rFonts w:hint="eastAsia" w:ascii="方正仿宋_GBK" w:hAnsi="方正仿宋_GBK" w:eastAsia="方正仿宋_GBK" w:cs="方正仿宋_GBK"/>
          <w:sz w:val="28"/>
          <w:szCs w:val="28"/>
        </w:rPr>
        <w:t>云南省住房和城乡建设厅等</w:t>
      </w:r>
      <w:r>
        <w:rPr>
          <w:rFonts w:ascii="方正仿宋_GBK" w:hAnsi="方正仿宋_GBK" w:eastAsia="方正仿宋_GBK" w:cs="方正仿宋_GBK"/>
          <w:sz w:val="28"/>
          <w:szCs w:val="28"/>
        </w:rPr>
        <w:t>关于在城乡建设中加强历史文化保护传承的实施方案》等法律、法规、政策要求。</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（1）《历史文化名城名镇名村保护条例》第二十八条　在历史文化街区、名镇、名村核心保护范围内，不得进行新建、扩建活动。但是，新建、扩建必要的基础设施和公共服务设施除外。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在历史文化街区、名镇、名村核心保护范围内，新建、扩建必要的基础设施和公共服务设施的，城市、县人民政府城乡规划主管部门核发建设工程规划许可证、乡村建设规划许可证前，应当征求同级文物主管部门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在历史文化街区、名镇、名村核心保护范围内，拆除历史建筑以外的建筑物、构筑物或者其他设施的，应当经城市、县人民政府城乡规划主管部门会同同级文物主管部门批准。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《历史文化名城名镇名村保护条例》</w:t>
      </w:r>
      <w:r>
        <w:rPr>
          <w:rFonts w:hint="eastAsia" w:ascii="方正仿宋_GBK" w:hAnsi="方正仿宋_GBK" w:eastAsia="方正仿宋_GBK" w:cs="方正仿宋_GBK"/>
          <w:sz w:val="28"/>
          <w:szCs w:val="28"/>
        </w:rPr>
        <w:t>第二十三条 在历史文化名城、名镇、名村保护范围内从事建设活动，应当符合保护规划的要求，不得损害历史文化遗产的真实性和完整性，不得对其传统格局和历史风貌构成破坏性影响。</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6.具体改革举措</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1.实行电子化申报和审批。2.不再要求申请人提供人员身份证明、营业执照社保证明、资质资格证书等材料。</w:t>
      </w:r>
      <w:r>
        <w:rPr>
          <w:rFonts w:hint="eastAsia" w:ascii="方正仿宋_GBK" w:hAnsi="方正仿宋_GBK" w:eastAsia="方正仿宋_GBK" w:cs="方正仿宋_GBK"/>
          <w:sz w:val="28"/>
          <w:szCs w:val="28"/>
        </w:rPr>
        <w:t>3.将承诺审批时限由20个工作日压减至5个工作日。</w:t>
      </w:r>
    </w:p>
    <w:p>
      <w:pPr>
        <w:spacing w:line="54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通过开展城乡历史文化保护传承专项评估和监督检查，对历史文化街区、名镇、名村核心保护范围内拆除历史建筑以外的建筑物、构筑物或者其他设施审批事项监管，依法查处违法违规行为。2.对历史文化街区、名镇、名村核心保护范围内拆除历史建筑以外的建筑物、构筑物或者其他设施的活动进行监管，依法查处违法违规行为。3.对历史文化街区、名镇、名村核心保护范围内拆除历史建筑以外的建筑物、构筑物或者其他设施审批事项开展“双随机、一公开”监管，通过信息公示、抽查、评估等方式，综合运用提醒、约谈、告诫、通报等手段，依法查处违法违规行为并公开结果。4.加强对历史文化街区、名镇、名村核心保护范围内拆除历史建筑以外的建筑物、构筑物或者其他设施的活动信用监管，依法依规对失信主体开展失信惩戒。</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 xml:space="preserve">拆除历史建筑以外的建筑物、构筑物或者其他设施审批申报书，内容包括：申请人身份证明（申请方是所有权人的，提供身份证；申请方是建设单位的，提供组织机构代码证及所有权人授权委托书；申请方是非所有权人的，提供所有权人授权委托书），所有权证明文件；拆除历史建筑以外的建筑物、构筑物或者其他设施的必要性说明。 </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拆除工程或拟建工程的保护和设计方案及影响评估报告。</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涉及土地征收的，提供土地征收相关决定。</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近一个月内拟拆除的的建筑物、构筑物或者其他设施正面、侧面、后面照片各一张。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《历史文化名城名镇名村保护条例》第二十八条　在历史文化街区、名镇、名村核心保护范围内，不得进行新建、扩建活动。但是，新建、扩建必要的基础设施和公共服务设施除外。</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历史文化街区、名镇、名村核心保护范围内，新建、扩建必要的基础设施和公共服务设施的，城市、县人民政府城乡规划主管部门核发建设工程规划许可证、乡村建设规划许可证前，应当征求同级文物主管部门的意见。</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在历史文化街区、名镇、名村核心保护范围内，拆除历史建筑以外的建筑物、构筑物或者其他设施的，应当经城市、县人民政府城乡规划主管部门会同同级文物主管部门批准。</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p>
    <w:p>
      <w:pPr>
        <w:spacing w:line="600" w:lineRule="exact"/>
        <w:ind w:firstLine="560" w:firstLineChars="200"/>
        <w:rPr>
          <w:rFonts w:ascii="Times New Roman" w:hAnsi="Times New Roman" w:eastAsia="仿宋GB2312"/>
          <w:sz w:val="28"/>
          <w:szCs w:val="28"/>
        </w:rPr>
      </w:pP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1、申请，2、受理，3、审核，4、现场勘验、开展技术服务（部分情况下开展）、鉴定（部分情况下开展）、专家评审、组织听证（部分情况下开展），5、公示，6、发放许可。</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2.规定行政许可程序的依据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w:t>
      </w:r>
      <w:r>
        <w:rPr>
          <w:rFonts w:ascii="方正仿宋_GBK" w:hAnsi="方正仿宋_GBK" w:eastAsia="方正仿宋_GBK" w:cs="方正仿宋_GBK"/>
          <w:sz w:val="28"/>
          <w:szCs w:val="28"/>
        </w:rPr>
        <w:t>《行政许可法》第四章 行政许可的实施程序</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《历史文化名城名镇名村保护条例》第二十八条　在历史文化街区、名镇、名村核心保护范围内，不得进行新建、扩建活动。但是，新建、扩建必要的基础设施和公共服务设施除外。</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在历史文化街区、名镇、名村核心保护范围内，新建、扩建必要的基础设施和公共服务设施的，城市、县人民政府城乡规划主管部门核发建设工程规划许可证、乡村建设规划许可证前，应当征求同级文物主管部门的意见。</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在历史文化街区、名镇、名村核心保护范围内，拆除历史建筑以外的建筑物、构筑物或者其他设施的，应当经城市、县人民政府城乡规划主管部门会同同级文物主管部门批准。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（3）</w:t>
      </w:r>
      <w:r>
        <w:rPr>
          <w:rFonts w:ascii="方正仿宋_GBK" w:hAnsi="方正仿宋_GBK" w:eastAsia="方正仿宋_GBK" w:cs="方正仿宋_GBK"/>
          <w:sz w:val="28"/>
          <w:szCs w:val="28"/>
        </w:rPr>
        <w:t>《历史文化名城名镇名村保护条例》第二十九条　审批本条例第二十八条规定的建设活动，审批机关应当组织专家论证，并将审批事项予以公示，征求公众意见，告知利害关系人有要求举行听证的权利。公示时间不得少于20日。</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利害关系人要求听证的，应当在公示期间提出，审批机关应当在公示期满后及时举行听证。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部分情况下开展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部分情况下开展</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（1）《行政许可法》第二十六条　行政许可需要行政机关内设的多个机构办理的，该行政机关应当确定一个机构统一受理行政许可申请，统一送达行政许可决定。</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行政许可依法由地方人民政府两个以上部门分别实施的，本级人民政府可以确定一个部门受理行政许可申请并转告有关部门分别提出意见后统一办理，或者组织有关部门联合办理、集中办理。</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w:t>
      </w:r>
      <w:r>
        <w:rPr>
          <w:rFonts w:ascii="方正仿宋_GBK" w:hAnsi="方正仿宋_GBK" w:eastAsia="方正仿宋_GBK" w:cs="方正仿宋_GBK"/>
          <w:sz w:val="28"/>
          <w:szCs w:val="28"/>
        </w:rPr>
        <w:t>《行政许可法》第四十二条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2.收费项目的名称、收费项目的标准、设定收费项目的依据、规定收费标准的依据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批文</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历史文化街区、名镇、名村核心保护范围内拆除历史建筑以外的建筑物、构筑物或者其他设施许可决定书</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当次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《历史文化名城名镇名村保护条例》第二十八条　在历史文化街区、名镇、名村核心保护范围内，不得进行新建、扩建活动。但是，新建、扩建必要的基础设施和公共服务设施除外。</w:t>
      </w:r>
    </w:p>
    <w:p>
      <w:pPr>
        <w:spacing w:line="600" w:lineRule="exact"/>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在历史文化街区、名镇、名村核心保护范围内，新建、扩建必要的基础设施和公共服务设施的，城市、县人民政府城乡规划主管部门核发建设工程规划许可证、乡村建设规划许可证前，应当征求同级文物主管部门的意见。</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在历史文化街区、名镇、名村核心保护范围内，拆除历史建筑以外的建筑物、构筑物或者其他设施的，应当经城市、县人民政府城乡规划主管部门会同同级文物主管部门批准。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6.办理审批结果变更手续的要求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8.办理审批结果延续手续的要求</w:t>
      </w:r>
    </w:p>
    <w:p>
      <w:pPr>
        <w:spacing w:line="600" w:lineRule="exact"/>
        <w:ind w:firstLine="560" w:firstLineChars="200"/>
        <w:rPr>
          <w:rFonts w:hint="eastAsia" w:ascii="Times New Roman" w:hAnsi="Times New Roman" w:eastAsia="仿宋GB2312"/>
          <w:sz w:val="32"/>
          <w:szCs w:val="32"/>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9.审批结果的有效地域范围</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全国</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《行政许可法》第四十一条 法律、行政法规设定的行政许可，其适用范围没有地域限制的，申请人取得的行政许可在全国范围内有效。</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hint="eastAsia" w:ascii="Times New Roman" w:hAnsi="Times New Roman" w:eastAsia="仿宋GB2312"/>
          <w:b/>
          <w:bCs/>
          <w:sz w:val="28"/>
          <w:szCs w:val="28"/>
        </w:rPr>
      </w:pPr>
      <w:r>
        <w:rPr>
          <w:rFonts w:hint="eastAsia" w:ascii="Times New Roman" w:hAnsi="Times New Roman" w:eastAsia="仿宋GB2312"/>
          <w:b/>
          <w:bCs/>
          <w:sz w:val="28"/>
          <w:szCs w:val="28"/>
        </w:rPr>
        <w:t>5.规定在数量限制条件下实施行政许可方式的依据</w:t>
      </w:r>
    </w:p>
    <w:p>
      <w:pPr>
        <w:spacing w:line="600" w:lineRule="exact"/>
        <w:ind w:firstLine="560" w:firstLineChars="200"/>
        <w:jc w:val="left"/>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numPr>
          <w:ilvl w:val="0"/>
          <w:numId w:val="1"/>
        </w:num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2.设定年检要求的依据</w:t>
      </w:r>
    </w:p>
    <w:p>
      <w:pPr>
        <w:spacing w:line="540" w:lineRule="exact"/>
        <w:ind w:firstLine="560" w:firstLineChars="200"/>
        <w:outlineLvl w:val="2"/>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b/>
          <w:bCs/>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p>
    <w:p>
      <w:pPr>
        <w:spacing w:line="600" w:lineRule="exact"/>
        <w:ind w:firstLine="560" w:firstLineChars="200"/>
        <w:rPr>
          <w:rFonts w:hint="eastAsia" w:ascii="Times New Roman" w:hAnsi="Times New Roman" w:eastAsia="仿宋GB2312"/>
          <w:sz w:val="28"/>
          <w:szCs w:val="28"/>
        </w:rPr>
      </w:pPr>
      <w:r>
        <w:rPr>
          <w:rFonts w:hint="eastAsia" w:ascii="方正仿宋_GBK" w:hAnsi="方正仿宋_GBK" w:eastAsia="方正仿宋_GBK" w:cs="方正仿宋_GBK"/>
          <w:sz w:val="28"/>
          <w:szCs w:val="28"/>
        </w:rPr>
        <w:t>无</w:t>
      </w:r>
    </w:p>
    <w:p>
      <w:pPr>
        <w:spacing w:line="540" w:lineRule="exact"/>
        <w:ind w:firstLine="562" w:firstLineChars="200"/>
        <w:outlineLvl w:val="2"/>
        <w:rPr>
          <w:rFonts w:hint="eastAsia"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540" w:lineRule="exact"/>
        <w:ind w:firstLine="560" w:firstLineChars="200"/>
        <w:outlineLvl w:val="1"/>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区</w:t>
      </w:r>
      <w:r>
        <w:rPr>
          <w:rFonts w:hint="eastAsia" w:ascii="方正仿宋_GBK" w:hAnsi="方正仿宋_GBK" w:eastAsia="方正仿宋_GBK" w:cs="方正仿宋_GBK"/>
          <w:sz w:val="28"/>
          <w:szCs w:val="28"/>
          <w:lang w:eastAsia="zh-CN"/>
        </w:rPr>
        <w:t>住房城乡建设局会同文化和旅游部门</w:t>
      </w:r>
    </w:p>
    <w:p>
      <w:pPr>
        <w:spacing w:line="540" w:lineRule="exac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540" w:lineRule="exact"/>
        <w:outlineLvl w:val="1"/>
        <w:rPr>
          <w:rFonts w:ascii="Times New Roman" w:hAnsi="Times New Roman" w:eastAsia="黑体"/>
          <w:sz w:val="28"/>
          <w:szCs w:val="28"/>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GB2312">
    <w:altName w:val="仿宋"/>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5MjlmNjkwMjdhZGU4NzFjMTZkNmNlNDY0NWRiNjEifQ=="/>
  </w:docVars>
  <w:rsids>
    <w:rsidRoot w:val="45CE4796"/>
    <w:rsid w:val="45CE4796"/>
    <w:rsid w:val="4FFE2A2F"/>
    <w:rsid w:val="5DB11A35"/>
    <w:rsid w:val="6468560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临沧市临翔区党政机关单位</Company>
  <Pages>11</Pages>
  <Words>4332</Words>
  <Characters>4480</Characters>
  <Lines>0</Lines>
  <Paragraphs>0</Paragraphs>
  <TotalTime>0</TotalTime>
  <ScaleCrop>false</ScaleCrop>
  <LinksUpToDate>false</LinksUpToDate>
  <CharactersWithSpaces>4497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2023-12-14T03:10:00Z</dcterms:created>
  <dc:creator>Administrator</dc:creator>
  <cp:lastModifiedBy>Administrator</cp:lastModifiedBy>
  <dcterms:modified xsi:type="dcterms:W3CDTF">2024-05-27T01:15:52Z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3A60A20C3588400A95EEBF27C5BFAA0F_12</vt:lpwstr>
  </property>
</Properties>
</file>