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城南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</w:t>
      </w:r>
      <w:r>
        <w:rPr>
          <w:rFonts w:hint="eastAsia"/>
          <w:color w:val="auto"/>
          <w:highlight w:val="none"/>
        </w:rPr>
        <w:t>市</w:t>
      </w:r>
      <w:r>
        <w:rPr>
          <w:rFonts w:hint="eastAsia"/>
          <w:color w:val="auto"/>
          <w:highlight w:val="none"/>
          <w:lang w:val="en-US" w:eastAsia="zh-CN"/>
        </w:rPr>
        <w:t>临翔</w:t>
      </w:r>
      <w:r>
        <w:rPr>
          <w:rFonts w:hint="eastAsia"/>
          <w:color w:val="auto"/>
          <w:highlight w:val="none"/>
        </w:rPr>
        <w:t>区，西至</w:t>
      </w:r>
      <w:r>
        <w:rPr>
          <w:rFonts w:hint="eastAsia"/>
          <w:color w:val="auto"/>
          <w:highlight w:val="none"/>
          <w:lang w:val="en-US" w:eastAsia="zh-CN"/>
        </w:rPr>
        <w:t>中心城区西侧边界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中心城区南侧边界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缅宁大道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公园路、南塘街、圈掌街</w:t>
      </w:r>
      <w:r>
        <w:rPr>
          <w:rFonts w:hint="eastAsia"/>
          <w:color w:val="auto"/>
          <w:highlight w:val="none"/>
        </w:rPr>
        <w:t>，单元编码为530902001010002。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427E5E05">
      <w:pPr>
        <w:spacing w:line="540" w:lineRule="exact"/>
        <w:ind w:firstLine="64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临沧市的市民活动中心、城市</w:t>
      </w:r>
      <w:r>
        <w:rPr>
          <w:rFonts w:hint="eastAsia"/>
          <w:color w:val="auto"/>
          <w:highlight w:val="none"/>
        </w:rPr>
        <w:t>文化公共客厅、美好宜居社区。本单元</w:t>
      </w:r>
      <w:r>
        <w:rPr>
          <w:rFonts w:hint="eastAsia"/>
          <w:color w:val="auto"/>
          <w:highlight w:val="none"/>
          <w:lang w:val="en-US" w:eastAsia="zh-CN"/>
        </w:rPr>
        <w:t>作为临沧市</w:t>
      </w:r>
      <w:r>
        <w:rPr>
          <w:rFonts w:hint="eastAsia"/>
          <w:color w:val="auto"/>
          <w:highlight w:val="none"/>
        </w:rPr>
        <w:t>老城区，</w:t>
      </w:r>
      <w:r>
        <w:rPr>
          <w:rFonts w:hint="eastAsia"/>
          <w:color w:val="auto"/>
          <w:highlight w:val="none"/>
          <w:lang w:val="en-US" w:eastAsia="zh-CN"/>
        </w:rPr>
        <w:t>北部以老行署周边的传统文化展示、生活服务和宜居功能为主，南部以文旅休闲功能为主。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32FDFBA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本单元常住人口8.0万人，单元面积</w:t>
      </w:r>
      <w:r>
        <w:rPr>
          <w:color w:val="auto"/>
          <w:highlight w:val="none"/>
        </w:rPr>
        <w:t>801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64</w:t>
      </w:r>
      <w:r>
        <w:rPr>
          <w:rFonts w:hint="eastAsia"/>
          <w:color w:val="auto"/>
          <w:highlight w:val="none"/>
        </w:rPr>
        <w:t>公顷。城镇开发边界内建设用地规模500.16公顷。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235.29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8.47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61.78公顷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57.15</w:t>
      </w:r>
      <w:r>
        <w:rPr>
          <w:color w:val="auto"/>
          <w:highlight w:val="none"/>
        </w:rPr>
        <w:t>公顷，交通运输用地</w:t>
      </w:r>
      <w:r>
        <w:rPr>
          <w:rFonts w:hint="eastAsia"/>
          <w:color w:val="auto"/>
          <w:highlight w:val="none"/>
        </w:rPr>
        <w:t>77.02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公用设施用地2.75公顷，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47.88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，特殊用地9.82公顷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0B4CB5BF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本单元涉及城镇开发边界506.57公顷，永久基本农田9.39公顷，不涉及生态保护红线。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val="en-US" w:eastAsia="zh-CN"/>
        </w:rPr>
        <w:t>。设置15分钟社区行政管理设施2处，为社区综合服务中心，用地面积0.62公顷；</w:t>
      </w:r>
      <w:r>
        <w:rPr>
          <w:rFonts w:hint="eastAsia"/>
          <w:color w:val="auto"/>
          <w:highlight w:val="none"/>
        </w:rPr>
        <w:t>规划非独立占地城镇社区服务设施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区域级教育设施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10.27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val="en-US" w:eastAsia="zh-CN"/>
        </w:rPr>
        <w:t>高校、1处职业教育中心、1处特殊学校。</w:t>
      </w:r>
      <w:r>
        <w:rPr>
          <w:rFonts w:hint="eastAsia"/>
          <w:color w:val="auto"/>
          <w:highlight w:val="none"/>
        </w:rPr>
        <w:t>单元内规划形成1所高中、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所初中、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所小学、</w:t>
      </w:r>
      <w:r>
        <w:rPr>
          <w:color w:val="auto"/>
          <w:highlight w:val="none"/>
        </w:rPr>
        <w:t>7</w:t>
      </w:r>
      <w:r>
        <w:rPr>
          <w:rFonts w:hint="eastAsia"/>
          <w:color w:val="auto"/>
          <w:highlight w:val="none"/>
        </w:rPr>
        <w:t>处配建幼儿园，用地面积</w:t>
      </w:r>
      <w:r>
        <w:rPr>
          <w:rFonts w:hint="eastAsia"/>
          <w:color w:val="auto"/>
          <w:highlight w:val="none"/>
          <w:lang w:val="en-US" w:eastAsia="zh-CN"/>
        </w:rPr>
        <w:t>18.51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45</w:t>
      </w:r>
      <w:r>
        <w:rPr>
          <w:rFonts w:hint="eastAsia"/>
          <w:color w:val="auto"/>
          <w:highlight w:val="none"/>
        </w:rPr>
        <w:t>班高中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处配建幼儿园</w:t>
      </w:r>
      <w:r>
        <w:rPr>
          <w:rFonts w:hint="eastAsia"/>
          <w:color w:val="auto"/>
          <w:highlight w:val="none"/>
          <w:lang w:eastAsia="zh-CN"/>
        </w:rPr>
        <w:t>；</w:t>
      </w:r>
      <w:r>
        <w:rPr>
          <w:rFonts w:hint="eastAsia"/>
          <w:color w:val="auto"/>
          <w:highlight w:val="none"/>
          <w:lang w:val="en-US" w:eastAsia="zh-CN"/>
        </w:rPr>
        <w:t>改扩建</w:t>
      </w:r>
      <w:r>
        <w:rPr>
          <w:rFonts w:hint="eastAsia"/>
          <w:color w:val="auto"/>
          <w:highlight w:val="none"/>
        </w:rPr>
        <w:t>1所</w:t>
      </w:r>
      <w:r>
        <w:rPr>
          <w:rFonts w:hint="eastAsia"/>
          <w:color w:val="auto"/>
          <w:highlight w:val="none"/>
          <w:lang w:val="en-US" w:eastAsia="zh-CN"/>
        </w:rPr>
        <w:t>30小学、1所24班小学；</w:t>
      </w:r>
      <w:r>
        <w:rPr>
          <w:rFonts w:hint="eastAsia"/>
          <w:color w:val="auto"/>
          <w:highlight w:val="none"/>
        </w:rPr>
        <w:t>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42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初中、1所24班</w:t>
      </w:r>
      <w:r>
        <w:rPr>
          <w:rFonts w:hint="eastAsia"/>
          <w:color w:val="auto"/>
          <w:highlight w:val="none"/>
        </w:rPr>
        <w:t>小学、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/>
          <w:color w:val="auto"/>
          <w:highlight w:val="none"/>
        </w:rPr>
        <w:t>医疗卫生用地</w:t>
      </w:r>
      <w:r>
        <w:rPr>
          <w:rFonts w:hint="eastAsia"/>
          <w:color w:val="auto"/>
          <w:highlight w:val="none"/>
          <w:lang w:val="en-US" w:eastAsia="zh-CN"/>
        </w:rPr>
        <w:t>5.25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处市级医疗卫生设施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卫生服务中心，用地面积</w:t>
      </w:r>
      <w:r>
        <w:rPr>
          <w:rFonts w:hint="eastAsia"/>
          <w:color w:val="auto"/>
          <w:highlight w:val="none"/>
          <w:lang w:val="en-US" w:eastAsia="zh-CN"/>
        </w:rPr>
        <w:t>0.56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文化活动中心，用地面积</w:t>
      </w:r>
      <w:r>
        <w:rPr>
          <w:rFonts w:hint="eastAsia"/>
          <w:color w:val="auto"/>
          <w:highlight w:val="none"/>
          <w:lang w:val="en-US" w:eastAsia="zh-CN"/>
        </w:rPr>
        <w:t>0.54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0.57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结合绿地设置</w:t>
      </w:r>
      <w:r>
        <w:rPr>
          <w:rFonts w:hint="eastAsia"/>
          <w:color w:val="auto"/>
          <w:highlight w:val="none"/>
          <w:lang w:val="en-US" w:eastAsia="zh-CN"/>
        </w:rPr>
        <w:t>9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val="en-US" w:eastAsia="zh-CN"/>
        </w:rPr>
        <w:t>中</w:t>
      </w:r>
      <w:r>
        <w:rPr>
          <w:rFonts w:hint="eastAsia"/>
          <w:color w:val="auto"/>
          <w:highlight w:val="none"/>
        </w:rPr>
        <w:t>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1.22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078DB489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47.88公顷。规划社区公园2处、专类公园3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59E95980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形成“三横六纵”的主次干路网体系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“三横”：公园路-南塘街-圈掌街，红线宽度28米；西三号路，红线宽度2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米；洪桥路，红线宽度30米。“六纵”：前程大道，红线宽度3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米；晚翠路，红线宽度32米；南屏南路，红线宽度24米；南三街-园林路，红线宽度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4米；南天路，红线宽度2</w:t>
      </w:r>
      <w:r>
        <w:rPr>
          <w:color w:val="auto"/>
          <w:highlight w:val="none"/>
        </w:rPr>
        <w:t>6</w:t>
      </w:r>
      <w:r>
        <w:rPr>
          <w:rFonts w:hint="eastAsia"/>
          <w:color w:val="auto"/>
          <w:highlight w:val="none"/>
        </w:rPr>
        <w:t>米；缅宁大道，红线宽度64米。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7D18CBBF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规划保留现状</w:t>
      </w:r>
      <w:r>
        <w:rPr>
          <w:color w:val="auto"/>
          <w:highlight w:val="none"/>
        </w:rPr>
        <w:t>一水厂（龙王庙水厂）</w:t>
      </w:r>
      <w:r>
        <w:rPr>
          <w:rFonts w:hint="eastAsia"/>
          <w:color w:val="auto"/>
          <w:highlight w:val="none"/>
        </w:rPr>
        <w:t>，供水规模0.5万立方米/日，占地面积0.73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。规划保留现状</w:t>
      </w:r>
      <w:r>
        <w:rPr>
          <w:color w:val="auto"/>
          <w:highlight w:val="none"/>
        </w:rPr>
        <w:t>二水厂（南京凹水厂）</w:t>
      </w:r>
      <w:r>
        <w:rPr>
          <w:rFonts w:hint="eastAsia"/>
          <w:color w:val="auto"/>
          <w:highlight w:val="none"/>
        </w:rPr>
        <w:t>，供水规模2万立方米/日，占地面积1.13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。规划在滇西科技师范学院西侧街对面预留一处供水设施用地，占地面积0.1</w:t>
      </w:r>
      <w:r>
        <w:rPr>
          <w:rFonts w:hint="eastAsia"/>
          <w:color w:val="auto"/>
          <w:highlight w:val="none"/>
          <w:lang w:val="en-US" w:eastAsia="zh-CN"/>
        </w:rPr>
        <w:t>8</w:t>
      </w:r>
      <w:r>
        <w:rPr>
          <w:rFonts w:hint="eastAsia"/>
          <w:color w:val="auto"/>
          <w:highlight w:val="none"/>
        </w:rPr>
        <w:t>公顷。</w:t>
      </w:r>
      <w:bookmarkStart w:id="0" w:name="_GoBack"/>
      <w:bookmarkEnd w:id="0"/>
    </w:p>
    <w:p w14:paraId="2AB24DE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单元内规划保留现状变配电设施2处：35kV忙角变、110kV城南变，设施用地0.87公顷。保留现状通信设施1处，设施用地0.24公顷。</w:t>
      </w:r>
    </w:p>
    <w:p w14:paraId="6BE9D1CF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单元内共设置环卫设施3处。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60901488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单元内结合具备一定基础设施条件的公共建筑及公共场地设置7处应急避难场所。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183538E"/>
    <w:rsid w:val="04311936"/>
    <w:rsid w:val="0B5919CE"/>
    <w:rsid w:val="1D827A8D"/>
    <w:rsid w:val="2584568E"/>
    <w:rsid w:val="2D141100"/>
    <w:rsid w:val="3378B11C"/>
    <w:rsid w:val="35FF3063"/>
    <w:rsid w:val="3BCB683D"/>
    <w:rsid w:val="3D7EB1D0"/>
    <w:rsid w:val="40086E60"/>
    <w:rsid w:val="487529DF"/>
    <w:rsid w:val="4C2436AB"/>
    <w:rsid w:val="4FD69422"/>
    <w:rsid w:val="4FD94ACC"/>
    <w:rsid w:val="52B4528E"/>
    <w:rsid w:val="5FDA4CAE"/>
    <w:rsid w:val="61990B7B"/>
    <w:rsid w:val="623C31ED"/>
    <w:rsid w:val="638FC954"/>
    <w:rsid w:val="651133A9"/>
    <w:rsid w:val="65AF55F0"/>
    <w:rsid w:val="6ADF7DF9"/>
    <w:rsid w:val="767F6880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1541</Words>
  <Characters>1697</Characters>
  <Lines>13</Lines>
  <Paragraphs>3</Paragraphs>
  <TotalTime>1</TotalTime>
  <ScaleCrop>false</ScaleCrop>
  <LinksUpToDate>false</LinksUpToDate>
  <CharactersWithSpaces>1697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2024-10-18T08:03:13Z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3F2EE9B42A6B443291AFCEBEB414FE01_13</vt:lpwstr>
  </property>
</Properties>
</file>