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64F2CE">
      <w:pPr>
        <w:spacing w:line="540" w:lineRule="exact"/>
        <w:jc w:val="center"/>
        <w:rPr>
          <w:rFonts w:eastAsia="方正小标宋简体"/>
          <w:color w:val="auto"/>
          <w:sz w:val="44"/>
          <w:szCs w:val="44"/>
          <w:highlight w:val="none"/>
        </w:rPr>
      </w:pPr>
      <w:r>
        <w:rPr>
          <w:rFonts w:hint="eastAsia" w:eastAsia="方正小标宋简体"/>
          <w:color w:val="auto"/>
          <w:sz w:val="44"/>
          <w:szCs w:val="44"/>
          <w:highlight w:val="none"/>
        </w:rPr>
        <w:t>临沧市</w:t>
      </w:r>
      <w:r>
        <w:rPr>
          <w:rFonts w:eastAsia="方正小标宋简体"/>
          <w:color w:val="auto"/>
          <w:sz w:val="44"/>
          <w:szCs w:val="44"/>
          <w:highlight w:val="none"/>
        </w:rPr>
        <w:t>中心城区</w:t>
      </w:r>
      <w:r>
        <w:rPr>
          <w:rFonts w:hint="eastAsia" w:eastAsia="方正小标宋简体"/>
          <w:color w:val="auto"/>
          <w:sz w:val="44"/>
          <w:szCs w:val="44"/>
          <w:highlight w:val="none"/>
          <w:lang w:val="en-US" w:eastAsia="zh-CN"/>
        </w:rPr>
        <w:t>城北</w:t>
      </w:r>
      <w:r>
        <w:rPr>
          <w:rFonts w:eastAsia="方正小标宋简体"/>
          <w:color w:val="auto"/>
          <w:sz w:val="44"/>
          <w:szCs w:val="44"/>
          <w:highlight w:val="none"/>
        </w:rPr>
        <w:t>单元</w:t>
      </w:r>
    </w:p>
    <w:p w14:paraId="3FC3AF44">
      <w:pPr>
        <w:spacing w:line="540" w:lineRule="exact"/>
        <w:jc w:val="center"/>
        <w:rPr>
          <w:color w:val="auto"/>
          <w:highlight w:val="none"/>
        </w:rPr>
      </w:pPr>
      <w:r>
        <w:rPr>
          <w:rFonts w:eastAsia="方正小标宋简体"/>
          <w:color w:val="auto"/>
          <w:sz w:val="44"/>
          <w:szCs w:val="44"/>
          <w:highlight w:val="none"/>
        </w:rPr>
        <w:t>详细规划草案公示</w:t>
      </w:r>
    </w:p>
    <w:p w14:paraId="51278E42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一、规划范围</w:t>
      </w:r>
    </w:p>
    <w:p w14:paraId="7589498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本单元位于</w:t>
      </w:r>
      <w:r>
        <w:rPr>
          <w:rFonts w:hint="eastAsia"/>
          <w:color w:val="auto"/>
          <w:highlight w:val="none"/>
          <w:lang w:val="en-US" w:eastAsia="zh-CN"/>
        </w:rPr>
        <w:t>临沧市临翔区</w:t>
      </w:r>
      <w:r>
        <w:rPr>
          <w:rFonts w:hint="eastAsia"/>
          <w:color w:val="auto"/>
          <w:highlight w:val="none"/>
        </w:rPr>
        <w:t>，西至</w:t>
      </w:r>
      <w:r>
        <w:rPr>
          <w:rFonts w:hint="eastAsia"/>
          <w:color w:val="auto"/>
          <w:highlight w:val="none"/>
          <w:lang w:val="en-US" w:eastAsia="zh-CN"/>
        </w:rPr>
        <w:t>西侧中心城区范围线</w:t>
      </w:r>
      <w:r>
        <w:rPr>
          <w:rFonts w:hint="eastAsia"/>
          <w:color w:val="auto"/>
          <w:highlight w:val="none"/>
        </w:rPr>
        <w:t>，南至</w:t>
      </w:r>
      <w:r>
        <w:rPr>
          <w:rFonts w:hint="eastAsia"/>
          <w:color w:val="auto"/>
          <w:highlight w:val="none"/>
          <w:lang w:val="en-US" w:eastAsia="zh-CN"/>
        </w:rPr>
        <w:t>北三号路</w:t>
      </w:r>
      <w:r>
        <w:rPr>
          <w:rFonts w:hint="eastAsia"/>
          <w:color w:val="auto"/>
          <w:highlight w:val="none"/>
        </w:rPr>
        <w:t>，东至</w:t>
      </w:r>
      <w:r>
        <w:rPr>
          <w:rFonts w:hint="eastAsia"/>
          <w:color w:val="auto"/>
          <w:highlight w:val="none"/>
          <w:lang w:val="en-US" w:eastAsia="zh-CN"/>
        </w:rPr>
        <w:t>东侧中心城区范围线</w:t>
      </w:r>
      <w:r>
        <w:rPr>
          <w:rFonts w:hint="eastAsia"/>
          <w:color w:val="auto"/>
          <w:highlight w:val="none"/>
        </w:rPr>
        <w:t>，北至</w:t>
      </w:r>
      <w:r>
        <w:rPr>
          <w:rFonts w:hint="eastAsia"/>
          <w:color w:val="auto"/>
          <w:highlight w:val="none"/>
          <w:lang w:val="en-US" w:eastAsia="zh-CN"/>
        </w:rPr>
        <w:t>北侧中心城区范围线</w:t>
      </w:r>
      <w:r>
        <w:rPr>
          <w:rFonts w:hint="eastAsia"/>
          <w:color w:val="auto"/>
          <w:highlight w:val="none"/>
        </w:rPr>
        <w:t>，单元编码为53</w:t>
      </w:r>
      <w:r>
        <w:rPr>
          <w:rFonts w:hint="eastAsia"/>
          <w:color w:val="auto"/>
          <w:highlight w:val="none"/>
        </w:rPr>
        <w:t>0902002010001。</w:t>
      </w:r>
    </w:p>
    <w:p w14:paraId="2ED77C5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二、目标定位与功能定位</w:t>
      </w:r>
    </w:p>
    <w:p w14:paraId="4CEF6DF2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本单元目标定位为：</w:t>
      </w:r>
      <w:r>
        <w:rPr>
          <w:rFonts w:hint="eastAsia"/>
          <w:color w:val="auto"/>
          <w:highlight w:val="none"/>
          <w:lang w:val="en-US" w:eastAsia="zh-CN"/>
        </w:rPr>
        <w:t>临沧市中心城区北部的产业智造片区。</w:t>
      </w:r>
      <w:r>
        <w:rPr>
          <w:rFonts w:hint="eastAsia"/>
          <w:color w:val="auto"/>
          <w:highlight w:val="none"/>
        </w:rPr>
        <w:t>本单元作为</w:t>
      </w:r>
      <w:r>
        <w:rPr>
          <w:rFonts w:hint="eastAsia"/>
          <w:color w:val="auto"/>
          <w:highlight w:val="none"/>
          <w:lang w:val="en-US" w:eastAsia="zh-CN"/>
        </w:rPr>
        <w:t>临沧市的产业片区，以产业功能为主，配套建设</w:t>
      </w:r>
      <w:r>
        <w:rPr>
          <w:rFonts w:hint="eastAsia"/>
          <w:color w:val="auto"/>
          <w:highlight w:val="none"/>
        </w:rPr>
        <w:t>宜居社区。</w:t>
      </w:r>
    </w:p>
    <w:p w14:paraId="08C61AC7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三、规模控制与用地结构</w:t>
      </w:r>
    </w:p>
    <w:p w14:paraId="1F69A14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本单元常住人口4.0万人，单元面积</w:t>
      </w:r>
      <w:r>
        <w:rPr>
          <w:color w:val="auto"/>
          <w:highlight w:val="none"/>
        </w:rPr>
        <w:t>475</w:t>
      </w:r>
      <w:r>
        <w:rPr>
          <w:rFonts w:hint="eastAsia"/>
          <w:color w:val="auto"/>
          <w:highlight w:val="none"/>
        </w:rPr>
        <w:t>.</w:t>
      </w:r>
      <w:r>
        <w:rPr>
          <w:color w:val="auto"/>
          <w:highlight w:val="none"/>
        </w:rPr>
        <w:t>84</w:t>
      </w:r>
      <w:r>
        <w:rPr>
          <w:rFonts w:hint="eastAsia"/>
          <w:color w:val="auto"/>
          <w:highlight w:val="none"/>
        </w:rPr>
        <w:t>公顷。城镇开发边界内建设用地规模249.55公顷，</w:t>
      </w:r>
      <w:r>
        <w:rPr>
          <w:color w:val="auto"/>
          <w:highlight w:val="none"/>
        </w:rPr>
        <w:t>其中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居住用地</w:t>
      </w:r>
      <w:r>
        <w:rPr>
          <w:rFonts w:hint="eastAsia"/>
          <w:color w:val="auto"/>
          <w:highlight w:val="none"/>
        </w:rPr>
        <w:t>24.84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商住混合用地</w:t>
      </w:r>
      <w:r>
        <w:rPr>
          <w:rFonts w:hint="eastAsia"/>
          <w:color w:val="auto"/>
          <w:highlight w:val="none"/>
        </w:rPr>
        <w:t>5.63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，</w:t>
      </w:r>
      <w:r>
        <w:rPr>
          <w:color w:val="auto"/>
          <w:highlight w:val="none"/>
        </w:rPr>
        <w:t>公共管理与公共服务用地</w:t>
      </w:r>
      <w:r>
        <w:rPr>
          <w:rFonts w:hint="eastAsia"/>
          <w:color w:val="auto"/>
          <w:highlight w:val="none"/>
        </w:rPr>
        <w:t>3.35公顷</w:t>
      </w:r>
      <w:r>
        <w:rPr>
          <w:color w:val="auto"/>
          <w:highlight w:val="none"/>
        </w:rPr>
        <w:t>，商业服务业用地</w:t>
      </w:r>
      <w:r>
        <w:rPr>
          <w:rFonts w:hint="eastAsia"/>
          <w:color w:val="auto"/>
          <w:highlight w:val="none"/>
        </w:rPr>
        <w:t>23.31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工矿用地面积93.88公顷，</w:t>
      </w:r>
      <w:r>
        <w:rPr>
          <w:color w:val="auto"/>
          <w:highlight w:val="none"/>
        </w:rPr>
        <w:t>交通运输用地</w:t>
      </w:r>
      <w:r>
        <w:rPr>
          <w:rFonts w:hint="eastAsia"/>
          <w:color w:val="auto"/>
          <w:highlight w:val="none"/>
        </w:rPr>
        <w:t>37.12</w:t>
      </w:r>
      <w:r>
        <w:rPr>
          <w:color w:val="auto"/>
          <w:highlight w:val="none"/>
        </w:rPr>
        <w:t>公顷，</w:t>
      </w:r>
      <w:r>
        <w:rPr>
          <w:rFonts w:hint="eastAsia"/>
          <w:color w:val="auto"/>
          <w:highlight w:val="none"/>
        </w:rPr>
        <w:t>公用设施用地8.95公顷，</w:t>
      </w:r>
      <w:r>
        <w:rPr>
          <w:color w:val="auto"/>
          <w:highlight w:val="none"/>
        </w:rPr>
        <w:t>绿地与开敞空间用地</w:t>
      </w:r>
      <w:r>
        <w:rPr>
          <w:rFonts w:hint="eastAsia"/>
          <w:color w:val="auto"/>
          <w:highlight w:val="none"/>
        </w:rPr>
        <w:t>52.47</w:t>
      </w:r>
      <w:r>
        <w:rPr>
          <w:color w:val="auto"/>
          <w:highlight w:val="none"/>
        </w:rPr>
        <w:t>公顷。</w:t>
      </w:r>
    </w:p>
    <w:p w14:paraId="5D9444FD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、底线管控</w:t>
      </w:r>
    </w:p>
    <w:p w14:paraId="7F86F678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本单元涉及城镇开发边界</w:t>
      </w:r>
      <w:r>
        <w:rPr>
          <w:color w:val="auto"/>
          <w:highlight w:val="none"/>
        </w:rPr>
        <w:t>250.94</w:t>
      </w:r>
      <w:r>
        <w:rPr>
          <w:rFonts w:hint="eastAsia"/>
          <w:color w:val="auto"/>
          <w:highlight w:val="none"/>
        </w:rPr>
        <w:t>公顷，永久基本农田10.37公顷，不涉及生态保护红线。</w:t>
      </w:r>
    </w:p>
    <w:p w14:paraId="361A9985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  <w:lang w:val="en-US" w:eastAsia="zh-CN"/>
        </w:rPr>
        <w:t>五</w:t>
      </w: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、公共服务设施规划</w:t>
      </w:r>
    </w:p>
    <w:p w14:paraId="01287A47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（一）城镇社区服务设施</w:t>
      </w:r>
    </w:p>
    <w:p w14:paraId="184234D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根据“15分钟—5-10分钟”社区生活圈的布局和配置要求，本单元共划分为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个5-10分钟社区生活圈，规划非独立占地</w:t>
      </w:r>
      <w:r>
        <w:rPr>
          <w:rFonts w:hint="eastAsia"/>
          <w:color w:val="auto"/>
          <w:highlight w:val="none"/>
          <w:lang w:val="en-US" w:eastAsia="zh-CN"/>
        </w:rPr>
        <w:t>社区服务站2处</w:t>
      </w:r>
      <w:r>
        <w:rPr>
          <w:rFonts w:hint="eastAsia"/>
          <w:color w:val="auto"/>
          <w:highlight w:val="none"/>
        </w:rPr>
        <w:t>，分别配置</w:t>
      </w:r>
      <w:r>
        <w:rPr>
          <w:rFonts w:hint="eastAsia"/>
          <w:color w:val="auto"/>
          <w:highlight w:val="none"/>
          <w:lang w:val="en-US" w:eastAsia="zh-CN"/>
        </w:rPr>
        <w:t>5-10分钟社区</w:t>
      </w:r>
      <w:r>
        <w:rPr>
          <w:rFonts w:hint="eastAsia"/>
          <w:color w:val="auto"/>
          <w:highlight w:val="none"/>
        </w:rPr>
        <w:t>文化、体育、医疗、养老设施。</w:t>
      </w:r>
    </w:p>
    <w:p w14:paraId="35805284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（二）教育设施</w:t>
      </w:r>
    </w:p>
    <w:p w14:paraId="16EA6B92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单元内规划形成1所初中、</w:t>
      </w:r>
      <w:r>
        <w:rPr>
          <w:rFonts w:hint="eastAsia"/>
          <w:color w:val="auto"/>
          <w:highlight w:val="none"/>
          <w:lang w:val="en-US" w:eastAsia="zh-CN"/>
        </w:rPr>
        <w:t>3</w:t>
      </w:r>
      <w:r>
        <w:rPr>
          <w:rFonts w:hint="eastAsia"/>
          <w:color w:val="auto"/>
          <w:highlight w:val="none"/>
        </w:rPr>
        <w:t>处配建幼儿园，规划教育设施用地面积</w:t>
      </w:r>
      <w:r>
        <w:rPr>
          <w:rFonts w:hint="eastAsia"/>
          <w:color w:val="auto"/>
          <w:highlight w:val="none"/>
          <w:lang w:val="en-US" w:eastAsia="zh-CN"/>
        </w:rPr>
        <w:t>3.35</w:t>
      </w:r>
      <w:r>
        <w:rPr>
          <w:rFonts w:hint="eastAsia"/>
          <w:color w:val="auto"/>
          <w:highlight w:val="none"/>
        </w:rPr>
        <w:t>公项。其中，</w:t>
      </w:r>
      <w:r>
        <w:rPr>
          <w:rFonts w:hint="eastAsia"/>
          <w:color w:val="auto"/>
          <w:highlight w:val="none"/>
          <w:lang w:val="en-US" w:eastAsia="zh-CN"/>
        </w:rPr>
        <w:t>改扩建</w:t>
      </w:r>
      <w:r>
        <w:rPr>
          <w:color w:val="auto"/>
          <w:highlight w:val="none"/>
        </w:rPr>
        <w:t>1</w:t>
      </w:r>
      <w:r>
        <w:rPr>
          <w:rFonts w:hint="eastAsia"/>
          <w:color w:val="auto"/>
          <w:highlight w:val="none"/>
        </w:rPr>
        <w:t>所</w:t>
      </w:r>
      <w:r>
        <w:rPr>
          <w:rFonts w:hint="eastAsia"/>
          <w:color w:val="auto"/>
          <w:highlight w:val="none"/>
          <w:lang w:val="en-US" w:eastAsia="zh-CN"/>
        </w:rPr>
        <w:t>24</w:t>
      </w:r>
      <w:r>
        <w:rPr>
          <w:rFonts w:hint="eastAsia"/>
          <w:color w:val="auto"/>
          <w:highlight w:val="none"/>
        </w:rPr>
        <w:t>班初中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  <w:lang w:val="en-US" w:eastAsia="zh-CN"/>
        </w:rPr>
        <w:t>保留1</w:t>
      </w:r>
      <w:r>
        <w:rPr>
          <w:rFonts w:hint="eastAsia"/>
          <w:color w:val="auto"/>
          <w:highlight w:val="none"/>
        </w:rPr>
        <w:t>处配建幼儿园</w:t>
      </w:r>
      <w:r>
        <w:rPr>
          <w:rFonts w:hint="eastAsia"/>
          <w:color w:val="auto"/>
          <w:highlight w:val="none"/>
          <w:lang w:eastAsia="zh-CN"/>
        </w:rPr>
        <w:t>，</w:t>
      </w:r>
      <w:r>
        <w:rPr>
          <w:rFonts w:hint="eastAsia"/>
          <w:color w:val="auto"/>
          <w:highlight w:val="none"/>
        </w:rPr>
        <w:t>规划新增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处配建幼儿园。</w:t>
      </w:r>
    </w:p>
    <w:p w14:paraId="3A2D7CC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（三）医疗卫生设施</w:t>
      </w:r>
    </w:p>
    <w:p w14:paraId="7E19D09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规划结合社区服务站，设置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处社区卫生服务站。</w:t>
      </w:r>
    </w:p>
    <w:p w14:paraId="3F63FDF5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（四）文化设施</w:t>
      </w:r>
    </w:p>
    <w:p w14:paraId="7A127665">
      <w:pPr>
        <w:spacing w:line="540" w:lineRule="exact"/>
        <w:ind w:firstLine="640"/>
        <w:rPr>
          <w:color w:val="auto"/>
          <w:highlight w:val="none"/>
        </w:rPr>
      </w:pPr>
      <w:r>
        <w:rPr>
          <w:color w:val="auto"/>
          <w:highlight w:val="none"/>
        </w:rPr>
        <w:t>规划</w:t>
      </w:r>
      <w:r>
        <w:rPr>
          <w:rFonts w:hint="eastAsia"/>
          <w:color w:val="auto"/>
          <w:highlight w:val="none"/>
        </w:rPr>
        <w:t>结合社区服务站，设置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处文化服务站。</w:t>
      </w:r>
    </w:p>
    <w:p w14:paraId="1D0BF37E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</w:rPr>
        <w:t>（五）体育设施</w:t>
      </w:r>
    </w:p>
    <w:p w14:paraId="6E88FD11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规划结合</w:t>
      </w:r>
      <w:r>
        <w:rPr>
          <w:rFonts w:hint="eastAsia"/>
          <w:color w:val="auto"/>
          <w:highlight w:val="none"/>
          <w:lang w:val="en-US" w:eastAsia="zh-CN"/>
        </w:rPr>
        <w:t>绿地</w:t>
      </w:r>
      <w:r>
        <w:rPr>
          <w:rFonts w:hint="eastAsia"/>
          <w:color w:val="auto"/>
          <w:highlight w:val="none"/>
        </w:rPr>
        <w:t>，设置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</w:t>
      </w:r>
      <w:r>
        <w:rPr>
          <w:rFonts w:hint="eastAsia"/>
          <w:color w:val="auto"/>
          <w:highlight w:val="none"/>
          <w:lang w:val="en-US" w:eastAsia="zh-CN"/>
        </w:rPr>
        <w:t>中</w:t>
      </w:r>
      <w:r>
        <w:rPr>
          <w:rFonts w:hint="eastAsia"/>
          <w:color w:val="auto"/>
          <w:highlight w:val="none"/>
        </w:rPr>
        <w:t>小型多功能运动场地。</w:t>
      </w:r>
    </w:p>
    <w:p w14:paraId="18615C48">
      <w:pPr>
        <w:spacing w:line="540" w:lineRule="exact"/>
        <w:ind w:left="640"/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</w:pPr>
      <w:r>
        <w:rPr>
          <w:rFonts w:hint="eastAsia" w:ascii="方正楷体_GBK" w:hAnsi="方正楷体_GBK" w:eastAsia="方正楷体_GBK" w:cs="方正楷体_GBK"/>
          <w:color w:val="auto"/>
          <w:highlight w:val="none"/>
          <w:lang w:val="en"/>
        </w:rPr>
        <w:t>（六）社会福利设施</w:t>
      </w:r>
    </w:p>
    <w:p w14:paraId="3A9F9B8B">
      <w:pPr>
        <w:spacing w:line="540" w:lineRule="exact"/>
        <w:ind w:firstLine="640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val="en-US" w:eastAsia="zh-CN"/>
        </w:rPr>
        <w:t>规划</w:t>
      </w:r>
      <w:r>
        <w:rPr>
          <w:rFonts w:hint="eastAsia"/>
          <w:color w:val="auto"/>
          <w:highlight w:val="none"/>
        </w:rPr>
        <w:t>结合社区服务站，设置</w:t>
      </w:r>
      <w:r>
        <w:rPr>
          <w:rFonts w:hint="eastAsia"/>
          <w:color w:val="auto"/>
          <w:highlight w:val="none"/>
          <w:lang w:val="en-US" w:eastAsia="zh-CN"/>
        </w:rPr>
        <w:t>2</w:t>
      </w:r>
      <w:r>
        <w:rPr>
          <w:rFonts w:hint="eastAsia"/>
          <w:color w:val="auto"/>
          <w:highlight w:val="none"/>
        </w:rPr>
        <w:t>处老年人日间照料中心。</w:t>
      </w:r>
    </w:p>
    <w:p w14:paraId="6A1DE73B">
      <w:pPr>
        <w:numPr>
          <w:ilvl w:val="0"/>
          <w:numId w:val="1"/>
        </w:num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绿地与开敞空间规划</w:t>
      </w:r>
    </w:p>
    <w:p w14:paraId="033601B4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规划单元内绿地分为公园绿地、广场用地两种类型进行控制引导，均好布置各类公园绿地，打造具有特色的绿地景观。规划公园绿地48.79公顷、防护绿地3.67公顷。规划综合公园1处，为城北森林公园。</w:t>
      </w:r>
    </w:p>
    <w:p w14:paraId="6DDE5A91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八、综合交通规划</w:t>
      </w:r>
    </w:p>
    <w:p w14:paraId="735CE738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color w:val="auto"/>
          <w:highlight w:val="none"/>
        </w:rPr>
        <w:t>单元内道路系统由主干路、次干路和支路</w:t>
      </w:r>
      <w:r>
        <w:rPr>
          <w:rFonts w:hint="eastAsia"/>
          <w:color w:val="auto"/>
          <w:highlight w:val="none"/>
        </w:rPr>
        <w:t>三</w:t>
      </w:r>
      <w:r>
        <w:rPr>
          <w:color w:val="auto"/>
          <w:highlight w:val="none"/>
        </w:rPr>
        <w:t>个等级道路构成，</w:t>
      </w:r>
      <w:r>
        <w:rPr>
          <w:rFonts w:hint="eastAsia"/>
          <w:color w:val="auto"/>
          <w:highlight w:val="none"/>
        </w:rPr>
        <w:t>形成“三横五纵”的主次干路网体系</w:t>
      </w:r>
      <w:r>
        <w:rPr>
          <w:color w:val="auto"/>
          <w:highlight w:val="none"/>
        </w:rPr>
        <w:t>。</w:t>
      </w:r>
      <w:r>
        <w:rPr>
          <w:rFonts w:hint="eastAsia"/>
          <w:color w:val="auto"/>
          <w:highlight w:val="none"/>
        </w:rPr>
        <w:t>“三横”：前程大道，红线宽度30米；北二号路，红线宽度24米；北三号路，红线宽度3</w:t>
      </w:r>
      <w:r>
        <w:rPr>
          <w:color w:val="auto"/>
          <w:highlight w:val="none"/>
        </w:rPr>
        <w:t>0</w:t>
      </w:r>
      <w:r>
        <w:rPr>
          <w:rFonts w:hint="eastAsia"/>
          <w:color w:val="auto"/>
          <w:highlight w:val="none"/>
        </w:rPr>
        <w:t>米。“五纵”：前程大道，红线宽度30米；北一街，红线宽度30米；玉带路，红线宽度30米；西河北路，红线宽度30米；缅宁大道，红线宽度61米。</w:t>
      </w:r>
    </w:p>
    <w:p w14:paraId="78460FAF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九、市政公用设施规划</w:t>
      </w:r>
    </w:p>
    <w:p w14:paraId="6B31F21D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单元内规划新建临沧市临翔区第四污水处理厂，处理规模4.5万立方米/日，占地面积5.80</w:t>
      </w:r>
      <w:r>
        <w:rPr>
          <w:color w:val="auto"/>
          <w:highlight w:val="none"/>
        </w:rPr>
        <w:t>公顷</w:t>
      </w:r>
      <w:r>
        <w:rPr>
          <w:rFonts w:hint="eastAsia"/>
          <w:color w:val="auto"/>
          <w:highlight w:val="none"/>
        </w:rPr>
        <w:t>。规划建设临沧燃气门站，供气规模2.9万标准立方米/小时，占地0.42公顷。</w:t>
      </w:r>
    </w:p>
    <w:p w14:paraId="7E6CBCB6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单元内规划保留现状变配电设施2处：110kV旗山变，设施用地2.12公顷；35kV大文变，设施用地0.33公顷。</w:t>
      </w:r>
    </w:p>
    <w:p w14:paraId="65F4551C">
      <w:pPr>
        <w:spacing w:line="540" w:lineRule="exact"/>
        <w:ind w:firstLine="640" w:firstLineChars="200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单元内共设置环卫设施1处。</w:t>
      </w:r>
    </w:p>
    <w:p w14:paraId="6B101C23">
      <w:pPr>
        <w:spacing w:line="540" w:lineRule="exact"/>
        <w:ind w:firstLine="640" w:firstLineChars="200"/>
        <w:rPr>
          <w:rFonts w:hint="eastAsia" w:ascii="方正黑体_GBK" w:hAnsi="方正黑体_GBK" w:eastAsia="方正黑体_GBK" w:cs="方正黑体_GBK"/>
          <w:color w:val="auto"/>
          <w:highlight w:val="none"/>
        </w:rPr>
      </w:pPr>
      <w:r>
        <w:rPr>
          <w:rFonts w:hint="eastAsia" w:ascii="方正黑体_GBK" w:hAnsi="方正黑体_GBK" w:eastAsia="方正黑体_GBK" w:cs="方正黑体_GBK"/>
          <w:color w:val="auto"/>
          <w:highlight w:val="none"/>
        </w:rPr>
        <w:t>十、综合防灾设施规划</w:t>
      </w:r>
    </w:p>
    <w:p w14:paraId="6D066F29">
      <w:pPr>
        <w:spacing w:line="540" w:lineRule="exact"/>
        <w:ind w:firstLine="640" w:firstLineChars="200"/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t>单元内设置一处一级消防站，用地规模0.69公顷。结合具备一定基础设施条件的公共建筑及公共场地设置2处应急避难场所。</w:t>
      </w:r>
    </w:p>
    <w:p w14:paraId="3B1822FA">
      <w:pPr>
        <w:tabs>
          <w:tab w:val="left" w:pos="6086"/>
        </w:tabs>
        <w:spacing w:line="540" w:lineRule="exact"/>
        <w:ind w:firstLine="640" w:firstLineChars="200"/>
        <w:rPr>
          <w:rFonts w:hint="eastAsia" w:eastAsia="方正仿宋_GBK"/>
          <w:color w:val="auto"/>
          <w:highlight w:val="none"/>
          <w:lang w:eastAsia="zh-CN"/>
        </w:rPr>
      </w:pPr>
      <w:bookmarkStart w:id="0" w:name="_GoBack"/>
      <w:bookmarkEnd w:id="0"/>
      <w:r>
        <w:rPr>
          <w:rFonts w:hint="eastAsia"/>
          <w:color w:val="auto"/>
          <w:highlight w:val="none"/>
          <w:lang w:eastAsia="zh-CN"/>
        </w:rPr>
        <w:tab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D25269"/>
    <w:multiLevelType w:val="singleLevel"/>
    <w:tmpl w:val="D3D25269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ExNmZmOGJjMGJkYTIxYzNiZjgyZGE2MjZlZmVjMjMifQ=="/>
  </w:docVars>
  <w:rsids>
    <w:rsidRoot w:val="3BCB683D"/>
    <w:rsid w:val="000122BB"/>
    <w:rsid w:val="000148A5"/>
    <w:rsid w:val="00105758"/>
    <w:rsid w:val="00172006"/>
    <w:rsid w:val="0017667B"/>
    <w:rsid w:val="002462F6"/>
    <w:rsid w:val="0026169C"/>
    <w:rsid w:val="0028751A"/>
    <w:rsid w:val="002F77A6"/>
    <w:rsid w:val="003B0CDB"/>
    <w:rsid w:val="00467A84"/>
    <w:rsid w:val="00492519"/>
    <w:rsid w:val="004B6FFE"/>
    <w:rsid w:val="004B7879"/>
    <w:rsid w:val="005C0602"/>
    <w:rsid w:val="005C32D7"/>
    <w:rsid w:val="005D7415"/>
    <w:rsid w:val="005F1FF2"/>
    <w:rsid w:val="00666BDA"/>
    <w:rsid w:val="006712AF"/>
    <w:rsid w:val="006C0534"/>
    <w:rsid w:val="006C4189"/>
    <w:rsid w:val="006C7C67"/>
    <w:rsid w:val="00855632"/>
    <w:rsid w:val="00855D13"/>
    <w:rsid w:val="0085673D"/>
    <w:rsid w:val="008848B0"/>
    <w:rsid w:val="0088673A"/>
    <w:rsid w:val="008B49A6"/>
    <w:rsid w:val="008C7623"/>
    <w:rsid w:val="008E0734"/>
    <w:rsid w:val="00906C87"/>
    <w:rsid w:val="009F2DCA"/>
    <w:rsid w:val="009F706A"/>
    <w:rsid w:val="00A05034"/>
    <w:rsid w:val="00A964B2"/>
    <w:rsid w:val="00AB4F65"/>
    <w:rsid w:val="00AD1A79"/>
    <w:rsid w:val="00B23A39"/>
    <w:rsid w:val="00B32164"/>
    <w:rsid w:val="00B6311E"/>
    <w:rsid w:val="00BD2F37"/>
    <w:rsid w:val="00C408FE"/>
    <w:rsid w:val="00C75E1D"/>
    <w:rsid w:val="00C877E5"/>
    <w:rsid w:val="00CB1C2C"/>
    <w:rsid w:val="00D66996"/>
    <w:rsid w:val="00DF4106"/>
    <w:rsid w:val="00E04929"/>
    <w:rsid w:val="00E64260"/>
    <w:rsid w:val="00E84B1D"/>
    <w:rsid w:val="00EF5035"/>
    <w:rsid w:val="00F152BD"/>
    <w:rsid w:val="00FC7571"/>
    <w:rsid w:val="02F926E6"/>
    <w:rsid w:val="0F602D4B"/>
    <w:rsid w:val="110C768F"/>
    <w:rsid w:val="18457377"/>
    <w:rsid w:val="1E106302"/>
    <w:rsid w:val="32951856"/>
    <w:rsid w:val="3378B11C"/>
    <w:rsid w:val="3B255741"/>
    <w:rsid w:val="3BCB683D"/>
    <w:rsid w:val="3D7EB1D0"/>
    <w:rsid w:val="48AF6DB7"/>
    <w:rsid w:val="4FD69422"/>
    <w:rsid w:val="5FDA4CAE"/>
    <w:rsid w:val="638FC954"/>
    <w:rsid w:val="65AF55F0"/>
    <w:rsid w:val="673F20D7"/>
    <w:rsid w:val="700B7E84"/>
    <w:rsid w:val="72AE7968"/>
    <w:rsid w:val="72E9418D"/>
    <w:rsid w:val="737A0503"/>
    <w:rsid w:val="767F6880"/>
    <w:rsid w:val="7B9F39CA"/>
    <w:rsid w:val="7BFF3463"/>
    <w:rsid w:val="7D6F2FD7"/>
    <w:rsid w:val="7DFF6ED2"/>
    <w:rsid w:val="7EFA28A6"/>
    <w:rsid w:val="7F6F7F3B"/>
    <w:rsid w:val="7FFFF612"/>
    <w:rsid w:val="8B7D6470"/>
    <w:rsid w:val="CF9B79CD"/>
    <w:rsid w:val="D4EC2D7C"/>
    <w:rsid w:val="E1F7F2E7"/>
    <w:rsid w:val="EBAF10FB"/>
    <w:rsid w:val="F7AB4F06"/>
    <w:rsid w:val="FBFDDC82"/>
    <w:rsid w:val="FD369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7">
    <w:name w:val="UserStyle_0"/>
    <w:basedOn w:val="1"/>
    <w:next w:val="1"/>
    <w:qFormat/>
    <w:uiPriority w:val="0"/>
    <w:pPr>
      <w:spacing w:beforeAutospacing="1" w:afterAutospacing="1"/>
      <w:jc w:val="left"/>
    </w:pPr>
    <w:rPr>
      <w:kern w:val="44"/>
      <w:szCs w:val="48"/>
    </w:rPr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方正仿宋_GBK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方正仿宋_GBK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1109</Words>
  <Characters>1230</Characters>
  <Lines>13</Lines>
  <Paragraphs>3</Paragraphs>
  <TotalTime>0</TotalTime>
  <ScaleCrop>false</ScaleCrop>
  <LinksUpToDate>false</LinksUpToDate>
  <CharactersWithSpaces>1230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2024-07-13T06:46:00Z</dcterms:created>
  <dc:creator>qjzrzy</dc:creator>
  <cp:lastModifiedBy>peach</cp:lastModifiedBy>
  <dcterms:modified xsi:type="dcterms:W3CDTF">2024-10-18T07:24:15Z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B0321571D6394EA88E1ADA6C86E7F603_13</vt:lpwstr>
  </property>
</Properties>
</file>