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4F2CE">
      <w:pPr>
        <w:spacing w:line="540" w:lineRule="exact"/>
        <w:jc w:val="center"/>
        <w:rPr>
          <w:rFonts w:eastAsia="方正小标宋简体"/>
          <w:color w:val="auto"/>
          <w:sz w:val="44"/>
          <w:szCs w:val="44"/>
          <w:highlight w:val="none"/>
        </w:rPr>
      </w:pPr>
      <w:r>
        <w:rPr>
          <w:rFonts w:hint="eastAsia" w:eastAsia="方正小标宋简体"/>
          <w:color w:val="auto"/>
          <w:sz w:val="44"/>
          <w:szCs w:val="44"/>
          <w:highlight w:val="none"/>
        </w:rPr>
        <w:t>临沧市</w:t>
      </w:r>
      <w:r>
        <w:rPr>
          <w:rFonts w:eastAsia="方正小标宋简体"/>
          <w:color w:val="auto"/>
          <w:sz w:val="44"/>
          <w:szCs w:val="44"/>
          <w:highlight w:val="none"/>
        </w:rPr>
        <w:t>中心城区</w:t>
      </w:r>
      <w:bookmarkStart w:id="0" w:name="_GoBack"/>
      <w:r>
        <w:rPr>
          <w:rFonts w:hint="eastAsia" w:eastAsia="方正小标宋简体"/>
          <w:color w:val="auto"/>
          <w:sz w:val="44"/>
          <w:szCs w:val="44"/>
          <w:highlight w:val="none"/>
          <w:lang w:val="en-US" w:eastAsia="zh-CN"/>
        </w:rPr>
        <w:t>忙畔</w:t>
      </w:r>
      <w:bookmarkEnd w:id="0"/>
      <w:r>
        <w:rPr>
          <w:rFonts w:eastAsia="方正小标宋简体"/>
          <w:color w:val="auto"/>
          <w:sz w:val="44"/>
          <w:szCs w:val="44"/>
          <w:highlight w:val="none"/>
        </w:rPr>
        <w:t>单元</w:t>
      </w:r>
    </w:p>
    <w:p w14:paraId="3FC3AF44">
      <w:pPr>
        <w:spacing w:line="540" w:lineRule="exact"/>
        <w:jc w:val="center"/>
        <w:rPr>
          <w:color w:val="auto"/>
          <w:highlight w:val="none"/>
        </w:rPr>
      </w:pPr>
      <w:r>
        <w:rPr>
          <w:rFonts w:eastAsia="方正小标宋简体"/>
          <w:color w:val="auto"/>
          <w:sz w:val="44"/>
          <w:szCs w:val="44"/>
          <w:highlight w:val="none"/>
        </w:rPr>
        <w:t>详细规划草案公示</w:t>
      </w:r>
    </w:p>
    <w:p w14:paraId="51278E42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一、规划范围</w:t>
      </w:r>
    </w:p>
    <w:p w14:paraId="7589498C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本单元位于</w:t>
      </w:r>
      <w:r>
        <w:rPr>
          <w:rFonts w:hint="eastAsia"/>
          <w:color w:val="auto"/>
          <w:highlight w:val="none"/>
          <w:lang w:val="en-US" w:eastAsia="zh-CN"/>
        </w:rPr>
        <w:t>临沧市临翔区</w:t>
      </w:r>
      <w:r>
        <w:rPr>
          <w:rFonts w:hint="eastAsia"/>
          <w:color w:val="auto"/>
          <w:highlight w:val="none"/>
        </w:rPr>
        <w:t>，西至</w:t>
      </w:r>
      <w:r>
        <w:rPr>
          <w:rFonts w:hint="eastAsia"/>
          <w:color w:val="auto"/>
          <w:highlight w:val="none"/>
          <w:lang w:val="en-US" w:eastAsia="zh-CN"/>
        </w:rPr>
        <w:t>缅宁大道</w:t>
      </w:r>
      <w:r>
        <w:rPr>
          <w:rFonts w:hint="eastAsia"/>
          <w:color w:val="auto"/>
          <w:highlight w:val="none"/>
        </w:rPr>
        <w:t>，南至</w:t>
      </w:r>
      <w:r>
        <w:rPr>
          <w:rFonts w:hint="eastAsia"/>
          <w:color w:val="auto"/>
          <w:highlight w:val="none"/>
          <w:lang w:val="en-US" w:eastAsia="zh-CN"/>
        </w:rPr>
        <w:t>汀旗路</w:t>
      </w:r>
      <w:r>
        <w:rPr>
          <w:rFonts w:hint="eastAsia"/>
          <w:color w:val="auto"/>
          <w:highlight w:val="none"/>
        </w:rPr>
        <w:t>，东至</w:t>
      </w:r>
      <w:r>
        <w:rPr>
          <w:rFonts w:hint="eastAsia"/>
          <w:color w:val="auto"/>
          <w:highlight w:val="none"/>
          <w:lang w:val="en-US" w:eastAsia="zh-CN"/>
        </w:rPr>
        <w:t>中心城区东侧范围线</w:t>
      </w:r>
      <w:r>
        <w:rPr>
          <w:rFonts w:hint="eastAsia"/>
          <w:color w:val="auto"/>
          <w:highlight w:val="none"/>
        </w:rPr>
        <w:t>，北至</w:t>
      </w:r>
      <w:r>
        <w:rPr>
          <w:rFonts w:hint="eastAsia"/>
          <w:color w:val="auto"/>
          <w:highlight w:val="none"/>
          <w:lang w:val="en-US" w:eastAsia="zh-CN"/>
        </w:rPr>
        <w:t>太华路</w:t>
      </w:r>
      <w:r>
        <w:rPr>
          <w:rFonts w:hint="eastAsia"/>
          <w:color w:val="auto"/>
          <w:highlight w:val="none"/>
        </w:rPr>
        <w:t>，单元编码为530902002010004。</w:t>
      </w:r>
    </w:p>
    <w:p w14:paraId="2ED77C51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二、目标定位与功能定位</w:t>
      </w:r>
    </w:p>
    <w:p w14:paraId="1C969513">
      <w:pPr>
        <w:spacing w:line="540" w:lineRule="exact"/>
        <w:ind w:firstLine="640" w:firstLineChars="200"/>
        <w:rPr>
          <w:rFonts w:hint="default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</w:rPr>
        <w:t>本单元目标定位为：</w:t>
      </w:r>
      <w:r>
        <w:rPr>
          <w:rFonts w:hint="eastAsia"/>
          <w:color w:val="auto"/>
          <w:highlight w:val="none"/>
          <w:lang w:val="en-US" w:eastAsia="zh-CN"/>
        </w:rPr>
        <w:t>临沧市中心城区东部门户地区、城市文化休闲中心和品质宜居生活片区。本</w:t>
      </w:r>
      <w:r>
        <w:rPr>
          <w:rFonts w:hint="eastAsia"/>
          <w:color w:val="auto"/>
          <w:highlight w:val="none"/>
        </w:rPr>
        <w:t>单元</w:t>
      </w:r>
      <w:r>
        <w:rPr>
          <w:rFonts w:hint="eastAsia"/>
          <w:color w:val="auto"/>
          <w:highlight w:val="none"/>
          <w:lang w:val="en-US" w:eastAsia="zh-CN"/>
        </w:rPr>
        <w:t>恒春大道以西以会展服务、商业商务、宜居生活为主要功能，恒春大道以东以生态休闲、文旅服务为主要功能。</w:t>
      </w:r>
    </w:p>
    <w:p w14:paraId="08C61AC7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三、规模控制与用地结构</w:t>
      </w:r>
    </w:p>
    <w:p w14:paraId="08D5C4AE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本单元常住人口4</w:t>
      </w:r>
      <w:r>
        <w:rPr>
          <w:color w:val="auto"/>
          <w:highlight w:val="none"/>
        </w:rPr>
        <w:t>.0</w:t>
      </w:r>
      <w:r>
        <w:rPr>
          <w:rFonts w:hint="eastAsia"/>
          <w:color w:val="auto"/>
          <w:highlight w:val="none"/>
        </w:rPr>
        <w:t>万人，单元面积</w:t>
      </w:r>
      <w:r>
        <w:rPr>
          <w:color w:val="auto"/>
          <w:highlight w:val="none"/>
        </w:rPr>
        <w:t>935</w:t>
      </w:r>
      <w:r>
        <w:rPr>
          <w:rFonts w:hint="eastAsia"/>
          <w:color w:val="auto"/>
          <w:highlight w:val="none"/>
        </w:rPr>
        <w:t>.</w:t>
      </w:r>
      <w:r>
        <w:rPr>
          <w:color w:val="auto"/>
          <w:highlight w:val="none"/>
        </w:rPr>
        <w:t>93</w:t>
      </w:r>
      <w:r>
        <w:rPr>
          <w:rFonts w:hint="eastAsia"/>
          <w:color w:val="auto"/>
          <w:highlight w:val="none"/>
        </w:rPr>
        <w:t>公顷。城镇开发边界内建设用地规模474.84公顷。</w:t>
      </w:r>
      <w:r>
        <w:rPr>
          <w:color w:val="auto"/>
          <w:highlight w:val="none"/>
        </w:rPr>
        <w:t>其中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居住用地</w:t>
      </w:r>
      <w:r>
        <w:rPr>
          <w:rFonts w:hint="eastAsia"/>
          <w:color w:val="auto"/>
          <w:highlight w:val="none"/>
        </w:rPr>
        <w:t>161.96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商住混合用地</w:t>
      </w:r>
      <w:r>
        <w:rPr>
          <w:rFonts w:hint="eastAsia"/>
          <w:color w:val="auto"/>
          <w:highlight w:val="none"/>
        </w:rPr>
        <w:t>26.25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公共管理与公共服务用地</w:t>
      </w:r>
      <w:r>
        <w:rPr>
          <w:rFonts w:hint="eastAsia"/>
          <w:color w:val="auto"/>
          <w:highlight w:val="none"/>
        </w:rPr>
        <w:t>44.65公顷</w:t>
      </w:r>
      <w:r>
        <w:rPr>
          <w:color w:val="auto"/>
          <w:highlight w:val="none"/>
        </w:rPr>
        <w:t>，商业服务业用地</w:t>
      </w:r>
      <w:r>
        <w:rPr>
          <w:rFonts w:hint="eastAsia"/>
          <w:color w:val="auto"/>
          <w:highlight w:val="none"/>
        </w:rPr>
        <w:t>54.06</w:t>
      </w:r>
      <w:r>
        <w:rPr>
          <w:color w:val="auto"/>
          <w:highlight w:val="none"/>
        </w:rPr>
        <w:t>公顷，</w:t>
      </w:r>
      <w:r>
        <w:rPr>
          <w:rFonts w:hint="eastAsia"/>
          <w:color w:val="auto"/>
          <w:highlight w:val="none"/>
        </w:rPr>
        <w:t>仓储用地22.80公顷，</w:t>
      </w:r>
      <w:r>
        <w:rPr>
          <w:color w:val="auto"/>
          <w:highlight w:val="none"/>
        </w:rPr>
        <w:t>交通运输用地</w:t>
      </w:r>
      <w:r>
        <w:rPr>
          <w:rFonts w:hint="eastAsia"/>
          <w:color w:val="auto"/>
          <w:highlight w:val="none"/>
        </w:rPr>
        <w:t>96.62</w:t>
      </w:r>
      <w:r>
        <w:rPr>
          <w:color w:val="auto"/>
          <w:highlight w:val="none"/>
        </w:rPr>
        <w:t>公顷，</w:t>
      </w:r>
      <w:r>
        <w:rPr>
          <w:rFonts w:hint="eastAsia"/>
          <w:color w:val="auto"/>
          <w:highlight w:val="none"/>
        </w:rPr>
        <w:t>公用设施用地3.76公顷，</w:t>
      </w:r>
      <w:r>
        <w:rPr>
          <w:color w:val="auto"/>
          <w:highlight w:val="none"/>
        </w:rPr>
        <w:t>绿地与开敞空间用地</w:t>
      </w:r>
      <w:r>
        <w:rPr>
          <w:rFonts w:hint="eastAsia"/>
          <w:color w:val="auto"/>
          <w:highlight w:val="none"/>
        </w:rPr>
        <w:t>64.74</w:t>
      </w:r>
      <w:r>
        <w:rPr>
          <w:color w:val="auto"/>
          <w:highlight w:val="none"/>
        </w:rPr>
        <w:t>公顷。</w:t>
      </w:r>
    </w:p>
    <w:p w14:paraId="5D9444FD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、底线管控</w:t>
      </w:r>
    </w:p>
    <w:p w14:paraId="1C2798B8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本单元涉及城镇开发边界476.23公顷，永久基本农田22.12公顷，不涉及生态保护红线。</w:t>
      </w:r>
    </w:p>
    <w:p w14:paraId="361A9985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五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、公共服务设施规划</w:t>
      </w:r>
    </w:p>
    <w:p w14:paraId="01287A47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（一）城镇社区服务设施</w:t>
      </w:r>
    </w:p>
    <w:p w14:paraId="184234D1">
      <w:pPr>
        <w:spacing w:line="540" w:lineRule="exact"/>
        <w:ind w:firstLine="64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规划区域级城镇社区行政用地0.77公顷，单元内保留忙畔街道办事处。根据“15分钟—5-10分钟”社区生活圈的布局和配置要求，本单元共划分为1个15分钟社区生活圈，5个5-10分钟社区生活圈。设置15分钟社区行政管理设施1处，为社区综合服务中心，用地面积0.30公顷；规划非独立占地城镇社区服务设施5处，分别配置社区级文化、体育、医疗、养老设施。</w:t>
      </w:r>
    </w:p>
    <w:p w14:paraId="35805284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（二）教育设施</w:t>
      </w:r>
    </w:p>
    <w:p w14:paraId="16EA6B92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单元内规划形成1所</w:t>
      </w:r>
      <w:r>
        <w:rPr>
          <w:rFonts w:hint="eastAsia"/>
          <w:color w:val="auto"/>
          <w:highlight w:val="none"/>
          <w:lang w:val="en-US" w:eastAsia="zh-CN"/>
        </w:rPr>
        <w:t>完中</w:t>
      </w:r>
      <w:r>
        <w:rPr>
          <w:rFonts w:hint="eastAsia"/>
          <w:color w:val="auto"/>
          <w:highlight w:val="none"/>
        </w:rPr>
        <w:t>、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</w:rPr>
        <w:t>所小学、</w:t>
      </w:r>
      <w:r>
        <w:rPr>
          <w:rFonts w:hint="eastAsia"/>
          <w:color w:val="auto"/>
          <w:highlight w:val="none"/>
          <w:lang w:val="en-US" w:eastAsia="zh-CN"/>
        </w:rPr>
        <w:t>5</w:t>
      </w:r>
      <w:r>
        <w:rPr>
          <w:rFonts w:hint="eastAsia"/>
          <w:color w:val="auto"/>
          <w:highlight w:val="none"/>
        </w:rPr>
        <w:t>处配建幼儿园，规划教育设施用地面积</w:t>
      </w:r>
      <w:r>
        <w:rPr>
          <w:rFonts w:hint="eastAsia"/>
          <w:color w:val="auto"/>
          <w:highlight w:val="none"/>
          <w:lang w:val="en-US" w:eastAsia="zh-CN"/>
        </w:rPr>
        <w:t>20.84</w:t>
      </w:r>
      <w:r>
        <w:rPr>
          <w:rFonts w:hint="eastAsia"/>
          <w:color w:val="auto"/>
          <w:highlight w:val="none"/>
        </w:rPr>
        <w:t>公项。其中，保留</w:t>
      </w:r>
      <w:r>
        <w:rPr>
          <w:color w:val="auto"/>
          <w:highlight w:val="none"/>
        </w:rPr>
        <w:t>1</w:t>
      </w:r>
      <w:r>
        <w:rPr>
          <w:rFonts w:hint="eastAsia"/>
          <w:color w:val="auto"/>
          <w:highlight w:val="none"/>
        </w:rPr>
        <w:t>所</w:t>
      </w:r>
      <w:r>
        <w:rPr>
          <w:rFonts w:hint="eastAsia"/>
          <w:color w:val="auto"/>
          <w:highlight w:val="none"/>
          <w:lang w:val="en-US" w:eastAsia="zh-CN"/>
        </w:rPr>
        <w:t>60</w:t>
      </w:r>
      <w:r>
        <w:rPr>
          <w:rFonts w:hint="eastAsia"/>
          <w:color w:val="auto"/>
          <w:highlight w:val="none"/>
        </w:rPr>
        <w:t>班</w:t>
      </w:r>
      <w:r>
        <w:rPr>
          <w:rFonts w:hint="eastAsia"/>
          <w:color w:val="auto"/>
          <w:highlight w:val="none"/>
          <w:lang w:val="en-US" w:eastAsia="zh-CN"/>
        </w:rPr>
        <w:t>完</w:t>
      </w:r>
      <w:r>
        <w:rPr>
          <w:rFonts w:hint="eastAsia"/>
          <w:color w:val="auto"/>
          <w:highlight w:val="none"/>
        </w:rPr>
        <w:t>中</w:t>
      </w:r>
      <w:r>
        <w:rPr>
          <w:rFonts w:hint="eastAsia"/>
          <w:color w:val="auto"/>
          <w:highlight w:val="none"/>
          <w:lang w:eastAsia="zh-CN"/>
        </w:rPr>
        <w:t>、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处配建幼儿园</w:t>
      </w:r>
      <w:r>
        <w:rPr>
          <w:rFonts w:hint="eastAsia"/>
          <w:color w:val="auto"/>
          <w:highlight w:val="none"/>
          <w:lang w:eastAsia="zh-CN"/>
        </w:rPr>
        <w:t>；</w:t>
      </w:r>
      <w:r>
        <w:rPr>
          <w:rFonts w:hint="eastAsia"/>
          <w:color w:val="auto"/>
          <w:highlight w:val="none"/>
          <w:lang w:val="en-US" w:eastAsia="zh-CN"/>
        </w:rPr>
        <w:t>改扩建</w:t>
      </w:r>
      <w:r>
        <w:rPr>
          <w:rFonts w:hint="eastAsia"/>
          <w:color w:val="auto"/>
          <w:highlight w:val="none"/>
        </w:rPr>
        <w:t>1所</w:t>
      </w:r>
      <w:r>
        <w:rPr>
          <w:rFonts w:hint="eastAsia"/>
          <w:color w:val="auto"/>
          <w:highlight w:val="none"/>
          <w:lang w:val="en-US" w:eastAsia="zh-CN"/>
        </w:rPr>
        <w:t>30</w:t>
      </w:r>
      <w:r>
        <w:rPr>
          <w:rFonts w:hint="eastAsia"/>
          <w:color w:val="auto"/>
          <w:highlight w:val="none"/>
        </w:rPr>
        <w:t>班</w:t>
      </w:r>
      <w:r>
        <w:rPr>
          <w:rFonts w:hint="eastAsia"/>
          <w:color w:val="auto"/>
          <w:highlight w:val="none"/>
          <w:lang w:val="en-US" w:eastAsia="zh-CN"/>
        </w:rPr>
        <w:t>小学</w:t>
      </w:r>
      <w:r>
        <w:rPr>
          <w:rFonts w:hint="eastAsia"/>
          <w:color w:val="auto"/>
          <w:highlight w:val="none"/>
        </w:rPr>
        <w:t>、1所</w:t>
      </w:r>
      <w:r>
        <w:rPr>
          <w:rFonts w:hint="eastAsia"/>
          <w:color w:val="auto"/>
          <w:highlight w:val="none"/>
          <w:lang w:val="en-US" w:eastAsia="zh-CN"/>
        </w:rPr>
        <w:t>24</w:t>
      </w:r>
      <w:r>
        <w:rPr>
          <w:rFonts w:hint="eastAsia"/>
          <w:color w:val="auto"/>
          <w:highlight w:val="none"/>
        </w:rPr>
        <w:t>班</w:t>
      </w:r>
      <w:r>
        <w:rPr>
          <w:rFonts w:hint="eastAsia"/>
          <w:color w:val="auto"/>
          <w:highlight w:val="none"/>
          <w:lang w:val="en-US" w:eastAsia="zh-CN"/>
        </w:rPr>
        <w:t>小学</w:t>
      </w:r>
      <w:r>
        <w:rPr>
          <w:rFonts w:hint="eastAsia"/>
          <w:color w:val="auto"/>
          <w:highlight w:val="none"/>
        </w:rPr>
        <w:t>；规划新增</w:t>
      </w:r>
      <w:r>
        <w:rPr>
          <w:color w:val="auto"/>
          <w:highlight w:val="none"/>
        </w:rPr>
        <w:t>1</w:t>
      </w:r>
      <w:r>
        <w:rPr>
          <w:rFonts w:hint="eastAsia"/>
          <w:color w:val="auto"/>
          <w:highlight w:val="none"/>
        </w:rPr>
        <w:t>所2</w:t>
      </w:r>
      <w:r>
        <w:rPr>
          <w:color w:val="auto"/>
          <w:highlight w:val="none"/>
        </w:rPr>
        <w:t>4</w:t>
      </w:r>
      <w:r>
        <w:rPr>
          <w:rFonts w:hint="eastAsia"/>
          <w:color w:val="auto"/>
          <w:highlight w:val="none"/>
        </w:rPr>
        <w:t>班小学、</w:t>
      </w: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rFonts w:hint="eastAsia"/>
          <w:color w:val="auto"/>
          <w:highlight w:val="none"/>
        </w:rPr>
        <w:t>处配建幼儿园。幼儿园、小学、初中班级数余量可为周边单元服务。</w:t>
      </w:r>
    </w:p>
    <w:p w14:paraId="3A2D7CCE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（三）医疗卫生设施</w:t>
      </w:r>
    </w:p>
    <w:p w14:paraId="7E19D096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</w:t>
      </w:r>
      <w:r>
        <w:rPr>
          <w:rFonts w:hint="eastAsia"/>
          <w:color w:val="auto"/>
          <w:highlight w:val="none"/>
          <w:lang w:val="en-US" w:eastAsia="zh-CN"/>
        </w:rPr>
        <w:t>区域级</w:t>
      </w:r>
      <w:r>
        <w:rPr>
          <w:rFonts w:hint="eastAsia"/>
          <w:color w:val="auto"/>
          <w:highlight w:val="none"/>
        </w:rPr>
        <w:t>医疗卫生用地</w:t>
      </w:r>
      <w:r>
        <w:rPr>
          <w:rFonts w:hint="eastAsia"/>
          <w:color w:val="auto"/>
          <w:highlight w:val="none"/>
          <w:lang w:val="en-US" w:eastAsia="zh-CN"/>
        </w:rPr>
        <w:t>5.96</w:t>
      </w:r>
      <w:r>
        <w:rPr>
          <w:rFonts w:hint="eastAsia"/>
          <w:color w:val="auto"/>
          <w:highlight w:val="none"/>
        </w:rPr>
        <w:t>公顷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</w:rPr>
        <w:t>单元内保留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处区级医疗卫生设施</w:t>
      </w:r>
      <w:r>
        <w:rPr>
          <w:rFonts w:hint="eastAsia"/>
          <w:color w:val="auto"/>
          <w:highlight w:val="none"/>
          <w:lang w:eastAsia="zh-CN"/>
        </w:rPr>
        <w:t>。</w:t>
      </w:r>
      <w:r>
        <w:rPr>
          <w:rFonts w:hint="eastAsia"/>
          <w:color w:val="auto"/>
          <w:highlight w:val="none"/>
        </w:rPr>
        <w:t>按照“15分钟—5-10分钟”社区生活圈布局社区医疗卫生设施，设置15分钟医疗卫生设施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卫生服务中心，用地面积</w:t>
      </w:r>
      <w:r>
        <w:rPr>
          <w:rFonts w:hint="eastAsia"/>
          <w:color w:val="auto"/>
          <w:highlight w:val="none"/>
          <w:lang w:val="en-US" w:eastAsia="zh-CN"/>
        </w:rPr>
        <w:t>0.38</w:t>
      </w:r>
      <w:r>
        <w:rPr>
          <w:rFonts w:hint="eastAsia"/>
          <w:color w:val="auto"/>
          <w:highlight w:val="none"/>
        </w:rPr>
        <w:t>公顷。结合社区服务站，设置</w:t>
      </w:r>
      <w:r>
        <w:rPr>
          <w:rFonts w:hint="eastAsia"/>
          <w:color w:val="auto"/>
          <w:highlight w:val="none"/>
          <w:lang w:val="en-US" w:eastAsia="zh-CN"/>
        </w:rPr>
        <w:t>5</w:t>
      </w:r>
      <w:r>
        <w:rPr>
          <w:rFonts w:hint="eastAsia"/>
          <w:color w:val="auto"/>
          <w:highlight w:val="none"/>
        </w:rPr>
        <w:t>处社区卫生服务站。</w:t>
      </w:r>
    </w:p>
    <w:p w14:paraId="3F63FDF5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（四）文化设施</w:t>
      </w:r>
    </w:p>
    <w:p w14:paraId="7A127665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按照“15分钟—5-10分钟”社区生活圈布局社区文化设施，设置15分钟文化设施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文化活动中心，用地面积</w:t>
      </w:r>
      <w:r>
        <w:rPr>
          <w:rFonts w:hint="eastAsia"/>
          <w:color w:val="auto"/>
          <w:highlight w:val="none"/>
          <w:lang w:val="en-US" w:eastAsia="zh-CN"/>
        </w:rPr>
        <w:t>0.42</w:t>
      </w:r>
      <w:r>
        <w:rPr>
          <w:rFonts w:hint="eastAsia"/>
          <w:color w:val="auto"/>
          <w:highlight w:val="none"/>
        </w:rPr>
        <w:t>公顷。结合社区服务站，设置</w:t>
      </w:r>
      <w:r>
        <w:rPr>
          <w:rFonts w:hint="eastAsia"/>
          <w:color w:val="auto"/>
          <w:highlight w:val="none"/>
          <w:lang w:val="en-US" w:eastAsia="zh-CN"/>
        </w:rPr>
        <w:t>5</w:t>
      </w:r>
      <w:r>
        <w:rPr>
          <w:rFonts w:hint="eastAsia"/>
          <w:color w:val="auto"/>
          <w:highlight w:val="none"/>
        </w:rPr>
        <w:t>处文化服务站。</w:t>
      </w:r>
    </w:p>
    <w:p w14:paraId="1D0BF37E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（五）体育设施</w:t>
      </w:r>
    </w:p>
    <w:p w14:paraId="6E88FD11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规划设置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多功能运动场地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处，独立占地，用地面积</w:t>
      </w:r>
      <w:r>
        <w:rPr>
          <w:rFonts w:hint="eastAsia"/>
          <w:color w:val="auto"/>
          <w:highlight w:val="none"/>
          <w:lang w:val="en-US" w:eastAsia="zh-CN"/>
        </w:rPr>
        <w:t>0.42</w:t>
      </w:r>
      <w:r>
        <w:rPr>
          <w:rFonts w:hint="eastAsia"/>
          <w:color w:val="auto"/>
          <w:highlight w:val="none"/>
        </w:rPr>
        <w:t>公顷</w:t>
      </w:r>
      <w:r>
        <w:rPr>
          <w:rFonts w:hint="eastAsia"/>
          <w:color w:val="auto"/>
          <w:highlight w:val="none"/>
          <w:lang w:eastAsia="zh-CN"/>
        </w:rPr>
        <w:t>。</w:t>
      </w:r>
      <w:r>
        <w:rPr>
          <w:rFonts w:hint="eastAsia"/>
          <w:color w:val="auto"/>
          <w:highlight w:val="none"/>
        </w:rPr>
        <w:t>结合绿地，设置</w:t>
      </w:r>
      <w:r>
        <w:rPr>
          <w:rFonts w:hint="eastAsia"/>
          <w:color w:val="auto"/>
          <w:highlight w:val="none"/>
          <w:lang w:val="en-US" w:eastAsia="zh-CN"/>
        </w:rPr>
        <w:t>5</w:t>
      </w:r>
      <w:r>
        <w:rPr>
          <w:rFonts w:hint="eastAsia"/>
          <w:color w:val="auto"/>
          <w:highlight w:val="none"/>
        </w:rPr>
        <w:t>处小型多功能运动场地。</w:t>
      </w:r>
    </w:p>
    <w:p w14:paraId="18615C48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  <w:lang w:val="en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  <w:lang w:val="en"/>
        </w:rPr>
        <w:t>（六）社会福利设施</w:t>
      </w:r>
    </w:p>
    <w:p w14:paraId="3A9F9B8B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</w:t>
      </w:r>
      <w:r>
        <w:rPr>
          <w:rFonts w:hint="eastAsia"/>
          <w:color w:val="auto"/>
          <w:highlight w:val="none"/>
          <w:lang w:val="en-US" w:eastAsia="zh-CN"/>
        </w:rPr>
        <w:t>区域级社会福利设施</w:t>
      </w:r>
      <w:r>
        <w:rPr>
          <w:rFonts w:hint="eastAsia"/>
          <w:color w:val="auto"/>
          <w:highlight w:val="none"/>
        </w:rPr>
        <w:t>用地</w:t>
      </w:r>
      <w:r>
        <w:rPr>
          <w:rFonts w:hint="eastAsia"/>
          <w:color w:val="auto"/>
          <w:highlight w:val="none"/>
          <w:lang w:val="en-US" w:eastAsia="zh-CN"/>
        </w:rPr>
        <w:t>1.81</w:t>
      </w:r>
      <w:r>
        <w:rPr>
          <w:rFonts w:hint="eastAsia"/>
          <w:color w:val="auto"/>
          <w:highlight w:val="none"/>
        </w:rPr>
        <w:t>公顷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</w:rPr>
        <w:t>单元内保留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处区级</w:t>
      </w:r>
      <w:r>
        <w:rPr>
          <w:rFonts w:hint="eastAsia"/>
          <w:color w:val="auto"/>
          <w:highlight w:val="none"/>
          <w:lang w:val="en-US" w:eastAsia="zh-CN"/>
        </w:rPr>
        <w:t>社会福利</w:t>
      </w:r>
      <w:r>
        <w:rPr>
          <w:rFonts w:hint="eastAsia"/>
          <w:color w:val="auto"/>
          <w:highlight w:val="none"/>
        </w:rPr>
        <w:t>设施</w:t>
      </w:r>
      <w:r>
        <w:rPr>
          <w:rFonts w:hint="eastAsia"/>
          <w:color w:val="auto"/>
          <w:highlight w:val="none"/>
          <w:lang w:eastAsia="zh-CN"/>
        </w:rPr>
        <w:t>。</w:t>
      </w:r>
      <w:r>
        <w:rPr>
          <w:rFonts w:hint="eastAsia"/>
          <w:color w:val="auto"/>
          <w:highlight w:val="none"/>
        </w:rPr>
        <w:t>按照“15分钟—5-10分钟”社区生活圈布局社会福利设施，设置15分钟社会福利设施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老年人服务中心，用地面积</w:t>
      </w:r>
      <w:r>
        <w:rPr>
          <w:rFonts w:hint="eastAsia"/>
          <w:color w:val="auto"/>
          <w:highlight w:val="none"/>
          <w:lang w:val="en-US" w:eastAsia="zh-CN"/>
        </w:rPr>
        <w:t>0.98</w:t>
      </w:r>
      <w:r>
        <w:rPr>
          <w:rFonts w:hint="eastAsia"/>
          <w:color w:val="auto"/>
          <w:highlight w:val="none"/>
        </w:rPr>
        <w:t>公顷。结合社区服务站，设置</w:t>
      </w:r>
      <w:r>
        <w:rPr>
          <w:rFonts w:hint="eastAsia"/>
          <w:color w:val="auto"/>
          <w:highlight w:val="none"/>
          <w:lang w:val="en-US" w:eastAsia="zh-CN"/>
        </w:rPr>
        <w:t>5</w:t>
      </w:r>
      <w:r>
        <w:rPr>
          <w:rFonts w:hint="eastAsia"/>
          <w:color w:val="auto"/>
          <w:highlight w:val="none"/>
        </w:rPr>
        <w:t>处老年人日间照料中心。</w:t>
      </w:r>
    </w:p>
    <w:p w14:paraId="6A1DE73B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六、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绿地与开敞空间规划</w:t>
      </w:r>
    </w:p>
    <w:p w14:paraId="25847778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规划单元内绿地分为公园绿地、广场用地两种类型进行控制引导，均好布置各类公园绿地，打造具有特色的绿地景观。规划公园绿地52.28公顷、防护绿地12.29公顷、广场用地0.20公顷。规划综合公园</w:t>
      </w:r>
      <w:r>
        <w:rPr>
          <w:color w:val="auto"/>
          <w:highlight w:val="none"/>
        </w:rPr>
        <w:t>2</w:t>
      </w:r>
      <w:r>
        <w:rPr>
          <w:rFonts w:hint="eastAsia"/>
          <w:color w:val="auto"/>
          <w:highlight w:val="none"/>
        </w:rPr>
        <w:t>处，分别为生态公园、亚微公园。规划社区公园</w:t>
      </w:r>
      <w:r>
        <w:rPr>
          <w:color w:val="auto"/>
          <w:highlight w:val="none"/>
        </w:rPr>
        <w:t>3</w:t>
      </w:r>
      <w:r>
        <w:rPr>
          <w:rFonts w:hint="eastAsia"/>
          <w:color w:val="auto"/>
          <w:highlight w:val="none"/>
        </w:rPr>
        <w:t>处、专类公园1处，为城市居民提供便捷舒适的公共活动空间。</w:t>
      </w:r>
    </w:p>
    <w:p w14:paraId="6DDE5A91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七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、综合交通规划</w:t>
      </w:r>
    </w:p>
    <w:p w14:paraId="472E6B2E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  <w:r>
        <w:rPr>
          <w:color w:val="auto"/>
          <w:highlight w:val="none"/>
        </w:rPr>
        <w:t>单元内道路系统由主干路、次干路和支路</w:t>
      </w:r>
      <w:r>
        <w:rPr>
          <w:rFonts w:hint="eastAsia"/>
          <w:color w:val="auto"/>
          <w:highlight w:val="none"/>
        </w:rPr>
        <w:t>三</w:t>
      </w:r>
      <w:r>
        <w:rPr>
          <w:color w:val="auto"/>
          <w:highlight w:val="none"/>
        </w:rPr>
        <w:t>个等级道路构成，</w:t>
      </w:r>
      <w:r>
        <w:rPr>
          <w:rFonts w:hint="eastAsia"/>
          <w:color w:val="auto"/>
          <w:highlight w:val="none"/>
        </w:rPr>
        <w:t>形成“七横五纵”的主次干路网体系</w:t>
      </w:r>
      <w:r>
        <w:rPr>
          <w:color w:val="auto"/>
          <w:highlight w:val="none"/>
        </w:rPr>
        <w:t>。</w:t>
      </w:r>
      <w:r>
        <w:rPr>
          <w:rFonts w:hint="eastAsia"/>
          <w:color w:val="auto"/>
          <w:highlight w:val="none"/>
        </w:rPr>
        <w:t>“七横”：太华路，红线宽度30米；东四号路，红线宽度24米；田心路，红线宽度50米；师范路，红线宽度20米；沧江路，红线宽度52米；丙兔路，红线宽度26米；汀旗路，红线宽度42米。“五纵”：缅宁大道，红线宽度64米、61米；园区路，红线宽度18米；茶苑路，红线宽度26米；恒春大道，红线宽度45米；东二环线，红线宽度36米、25米。</w:t>
      </w:r>
    </w:p>
    <w:p w14:paraId="78460FAF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八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、市政公用设施规划</w:t>
      </w:r>
    </w:p>
    <w:p w14:paraId="572F50B1">
      <w:pPr>
        <w:spacing w:line="360" w:lineRule="auto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规划扩建三水厂（邦留水厂），现状供水规模3万立方米/日，扩规划扩建三水厂（邦留水厂），现状供水规模3万立方米/日，扩建规模为</w:t>
      </w:r>
      <w:r>
        <w:rPr>
          <w:color w:val="auto"/>
          <w:highlight w:val="none"/>
        </w:rPr>
        <w:t>1</w:t>
      </w:r>
      <w:r>
        <w:rPr>
          <w:rFonts w:hint="eastAsia"/>
          <w:color w:val="auto"/>
          <w:highlight w:val="none"/>
        </w:rPr>
        <w:t>万</w:t>
      </w:r>
      <w:r>
        <w:rPr>
          <w:color w:val="auto"/>
          <w:highlight w:val="none"/>
        </w:rPr>
        <w:t>m³/d</w:t>
      </w:r>
      <w:r>
        <w:rPr>
          <w:rFonts w:hint="eastAsia"/>
          <w:color w:val="auto"/>
          <w:highlight w:val="none"/>
        </w:rPr>
        <w:t>，扩建后总规模为</w:t>
      </w:r>
      <w:r>
        <w:rPr>
          <w:color w:val="auto"/>
          <w:highlight w:val="none"/>
        </w:rPr>
        <w:t>4.0</w:t>
      </w:r>
      <w:r>
        <w:rPr>
          <w:rFonts w:hint="eastAsia"/>
          <w:color w:val="auto"/>
          <w:highlight w:val="none"/>
        </w:rPr>
        <w:t>万</w:t>
      </w:r>
      <w:r>
        <w:rPr>
          <w:color w:val="auto"/>
          <w:highlight w:val="none"/>
        </w:rPr>
        <w:t>m³/d</w:t>
      </w:r>
      <w:r>
        <w:rPr>
          <w:rFonts w:hint="eastAsia"/>
          <w:color w:val="auto"/>
          <w:highlight w:val="none"/>
        </w:rPr>
        <w:t>，占地面积1.84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。</w:t>
      </w:r>
    </w:p>
    <w:p w14:paraId="4E97E2B4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单元内规划保留现状变配电设施2处：110kV北郊变，220kv临沧变，设施用地共3.1公顷。</w:t>
      </w:r>
    </w:p>
    <w:p w14:paraId="096FB8A2">
      <w:pPr>
        <w:spacing w:line="540" w:lineRule="exact"/>
        <w:ind w:firstLine="640" w:firstLineChars="200"/>
        <w:rPr>
          <w:rFonts w:hint="eastAsia" w:eastAsia="方正仿宋_GBK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</w:rPr>
        <w:t>单元内共设置环卫设施3处</w:t>
      </w:r>
      <w:r>
        <w:rPr>
          <w:rFonts w:hint="eastAsia"/>
          <w:color w:val="auto"/>
          <w:highlight w:val="none"/>
          <w:lang w:eastAsia="zh-CN"/>
        </w:rPr>
        <w:t>。</w:t>
      </w:r>
    </w:p>
    <w:p w14:paraId="6B101C23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九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、综合防灾设施规划</w:t>
      </w:r>
    </w:p>
    <w:p w14:paraId="473842C7">
      <w:pPr>
        <w:spacing w:line="360" w:lineRule="auto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单元内设置一处小型消防站，用地规模0.15公顷。单元内结合具备一定基础设施条件的公共建筑及公共场地设置7处应急避难场所。</w:t>
      </w:r>
    </w:p>
    <w:p w14:paraId="7F72D13D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A0N2Y2YTFmMzBmMTg3YTdjNjY1YmI2MjRkMDM5ODUifQ=="/>
  </w:docVars>
  <w:rsids>
    <w:rsidRoot w:val="3BCB683D"/>
    <w:rsid w:val="000122BB"/>
    <w:rsid w:val="000148A5"/>
    <w:rsid w:val="00105758"/>
    <w:rsid w:val="00172006"/>
    <w:rsid w:val="0017667B"/>
    <w:rsid w:val="002462F6"/>
    <w:rsid w:val="0026169C"/>
    <w:rsid w:val="0028751A"/>
    <w:rsid w:val="002F77A6"/>
    <w:rsid w:val="003B0CDB"/>
    <w:rsid w:val="00467A84"/>
    <w:rsid w:val="00492519"/>
    <w:rsid w:val="004B6FFE"/>
    <w:rsid w:val="004B7879"/>
    <w:rsid w:val="005C0602"/>
    <w:rsid w:val="005C32D7"/>
    <w:rsid w:val="005D7415"/>
    <w:rsid w:val="005F1FF2"/>
    <w:rsid w:val="00666BDA"/>
    <w:rsid w:val="006712AF"/>
    <w:rsid w:val="006C0534"/>
    <w:rsid w:val="006C4189"/>
    <w:rsid w:val="006C7C67"/>
    <w:rsid w:val="00855632"/>
    <w:rsid w:val="00855D13"/>
    <w:rsid w:val="0085673D"/>
    <w:rsid w:val="008848B0"/>
    <w:rsid w:val="0088673A"/>
    <w:rsid w:val="008B49A6"/>
    <w:rsid w:val="008C7623"/>
    <w:rsid w:val="008E0734"/>
    <w:rsid w:val="00906C87"/>
    <w:rsid w:val="009F2DCA"/>
    <w:rsid w:val="009F706A"/>
    <w:rsid w:val="00A05034"/>
    <w:rsid w:val="00A964B2"/>
    <w:rsid w:val="00AB4F65"/>
    <w:rsid w:val="00AD1A79"/>
    <w:rsid w:val="00B04607"/>
    <w:rsid w:val="00B23A39"/>
    <w:rsid w:val="00B32164"/>
    <w:rsid w:val="00B6311E"/>
    <w:rsid w:val="00BD2F37"/>
    <w:rsid w:val="00C408FE"/>
    <w:rsid w:val="00C75E1D"/>
    <w:rsid w:val="00C877E5"/>
    <w:rsid w:val="00CB1C2C"/>
    <w:rsid w:val="00D66996"/>
    <w:rsid w:val="00DF4106"/>
    <w:rsid w:val="00E04929"/>
    <w:rsid w:val="00E64260"/>
    <w:rsid w:val="00E84B1D"/>
    <w:rsid w:val="00EF5035"/>
    <w:rsid w:val="00F152BD"/>
    <w:rsid w:val="00FC7571"/>
    <w:rsid w:val="03797855"/>
    <w:rsid w:val="157D5C9F"/>
    <w:rsid w:val="21BC0721"/>
    <w:rsid w:val="3378B11C"/>
    <w:rsid w:val="33AD5C0B"/>
    <w:rsid w:val="3B773511"/>
    <w:rsid w:val="3BCB683D"/>
    <w:rsid w:val="3D7EB1D0"/>
    <w:rsid w:val="45E070E4"/>
    <w:rsid w:val="48830C1B"/>
    <w:rsid w:val="4FD69422"/>
    <w:rsid w:val="5A1153B7"/>
    <w:rsid w:val="5FC72944"/>
    <w:rsid w:val="5FDA4CAE"/>
    <w:rsid w:val="63547737"/>
    <w:rsid w:val="638FC954"/>
    <w:rsid w:val="641737E9"/>
    <w:rsid w:val="65AF55F0"/>
    <w:rsid w:val="6B6C0939"/>
    <w:rsid w:val="6C0B4497"/>
    <w:rsid w:val="6C266E55"/>
    <w:rsid w:val="767F6880"/>
    <w:rsid w:val="7AB57EE0"/>
    <w:rsid w:val="7B9F39CA"/>
    <w:rsid w:val="7BFF3463"/>
    <w:rsid w:val="7D6F2FD7"/>
    <w:rsid w:val="7DFF6ED2"/>
    <w:rsid w:val="7F6F7F3B"/>
    <w:rsid w:val="7FFFF612"/>
    <w:rsid w:val="8B7D6470"/>
    <w:rsid w:val="CF9B79CD"/>
    <w:rsid w:val="D4EC2D7C"/>
    <w:rsid w:val="E1F7F2E7"/>
    <w:rsid w:val="EBAF10FB"/>
    <w:rsid w:val="F7AB4F06"/>
    <w:rsid w:val="FBFDDC82"/>
    <w:rsid w:val="FD369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7">
    <w:name w:val="UserStyle_0"/>
    <w:basedOn w:val="1"/>
    <w:next w:val="1"/>
    <w:qFormat/>
    <w:uiPriority w:val="0"/>
    <w:pPr>
      <w:spacing w:beforeAutospacing="1" w:afterAutospacing="1"/>
      <w:jc w:val="left"/>
    </w:pPr>
    <w:rPr>
      <w:kern w:val="44"/>
      <w:szCs w:val="48"/>
    </w:rPr>
  </w:style>
  <w:style w:type="character" w:customStyle="1" w:styleId="8">
    <w:name w:val="页眉 字符"/>
    <w:basedOn w:val="6"/>
    <w:link w:val="3"/>
    <w:uiPriority w:val="0"/>
    <w:rPr>
      <w:rFonts w:ascii="Times New Roman" w:hAnsi="Times New Roman" w:eastAsia="方正仿宋_GBK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Times New Roman" w:hAnsi="Times New Roman"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1595</Words>
  <Characters>1767</Characters>
  <Lines>13</Lines>
  <Paragraphs>3</Paragraphs>
  <TotalTime>3</TotalTime>
  <ScaleCrop>false</ScaleCrop>
  <LinksUpToDate>false</LinksUpToDate>
  <CharactersWithSpaces>1767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2024-07-13T06:46:00Z</dcterms:created>
  <dc:creator>qjzrzy</dc:creator>
  <cp:lastModifiedBy>Dell</cp:lastModifiedBy>
  <dcterms:modified xsi:type="dcterms:W3CDTF">2024-10-21T08:36:47Z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F357B171A43A482C92F6D83C65287560_13</vt:lpwstr>
  </property>
</Properties>
</file>