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青华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西侧中心城区范围线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北十一号路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缅宁大道、西河北路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北三号路</w:t>
      </w:r>
      <w:r>
        <w:rPr>
          <w:rFonts w:hint="eastAsia"/>
          <w:color w:val="auto"/>
          <w:highlight w:val="none"/>
        </w:rPr>
        <w:t>，单元编码为530902002010003</w:t>
      </w:r>
      <w:r>
        <w:rPr>
          <w:rFonts w:hint="eastAsia"/>
          <w:color w:val="auto"/>
          <w:highlight w:val="none"/>
        </w:rPr>
        <w:t>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364B963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eastAsia="方正仿宋_GBK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临沧市中心城区的体育活动中心和</w:t>
      </w:r>
      <w:r>
        <w:rPr>
          <w:rFonts w:hint="eastAsia"/>
          <w:color w:val="auto"/>
          <w:highlight w:val="none"/>
        </w:rPr>
        <w:t>高品质乐享宜居社区的示范区</w:t>
      </w:r>
      <w:r>
        <w:rPr>
          <w:rFonts w:hint="eastAsia"/>
          <w:color w:val="auto"/>
          <w:highlight w:val="none"/>
          <w:lang w:val="en-US" w:eastAsia="zh-CN"/>
        </w:rPr>
        <w:t>。</w:t>
      </w:r>
      <w:r>
        <w:rPr>
          <w:rFonts w:hint="eastAsia"/>
          <w:color w:val="auto"/>
          <w:highlight w:val="none"/>
        </w:rPr>
        <w:t>本单元作为</w:t>
      </w:r>
      <w:r>
        <w:rPr>
          <w:rFonts w:hint="eastAsia"/>
          <w:color w:val="auto"/>
          <w:highlight w:val="none"/>
          <w:lang w:val="en-US" w:eastAsia="zh-CN"/>
        </w:rPr>
        <w:t>临沧市中心城区北部的城市品质生活片区和体育活动中心，以宜居生活、公共服务和休闲购物为主要功能</w:t>
      </w:r>
      <w:r>
        <w:rPr>
          <w:rFonts w:hint="eastAsia"/>
          <w:color w:val="auto"/>
          <w:highlight w:val="none"/>
          <w:lang w:eastAsia="zh-CN"/>
        </w:rPr>
        <w:t>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32FDFBA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本单元常住人口4</w:t>
      </w:r>
      <w:r>
        <w:rPr>
          <w:color w:val="auto"/>
          <w:highlight w:val="none"/>
        </w:rPr>
        <w:t>.0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451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83</w:t>
      </w:r>
      <w:r>
        <w:rPr>
          <w:rFonts w:hint="eastAsia"/>
          <w:color w:val="auto"/>
          <w:highlight w:val="none"/>
        </w:rPr>
        <w:t>公顷。城镇开发边界内建设用地规模351.74公顷。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居住用地14</w:t>
      </w:r>
      <w:r>
        <w:rPr>
          <w:rFonts w:hint="eastAsia"/>
          <w:color w:val="auto"/>
          <w:highlight w:val="none"/>
        </w:rPr>
        <w:t>0.11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1.48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86.61公顷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13.34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工矿用地1.93公顷，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64.87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公用设施用地1.81公顷，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35.49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，特殊用地6.11公顷</w:t>
      </w:r>
      <w:r>
        <w:rPr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146CDF8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本单元涉及城镇开发边界356.69公顷，永久基本农田5.57公顷，不涉及生态保护红线。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个5-10分钟社区生活圈，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val="en-US" w:eastAsia="zh-CN"/>
        </w:rPr>
        <w:t>。设置15分钟社区行政管理设施1处，为社区综合服务中心，用地面积0.58公顷；</w:t>
      </w:r>
      <w:r>
        <w:rPr>
          <w:rFonts w:hint="eastAsia"/>
          <w:color w:val="auto"/>
          <w:highlight w:val="none"/>
        </w:rPr>
        <w:t>规划非独立占地</w:t>
      </w:r>
      <w:r>
        <w:rPr>
          <w:rFonts w:hint="eastAsia"/>
          <w:color w:val="auto"/>
          <w:highlight w:val="none"/>
          <w:lang w:val="en-US" w:eastAsia="zh-CN"/>
        </w:rPr>
        <w:t>社区服务站3处</w:t>
      </w:r>
      <w:r>
        <w:rPr>
          <w:rFonts w:hint="eastAsia"/>
          <w:color w:val="auto"/>
          <w:highlight w:val="none"/>
        </w:rPr>
        <w:t>，分别配置</w:t>
      </w:r>
      <w:r>
        <w:rPr>
          <w:rFonts w:hint="eastAsia"/>
          <w:color w:val="auto"/>
          <w:highlight w:val="none"/>
          <w:lang w:val="en-US" w:eastAsia="zh-CN"/>
        </w:rPr>
        <w:t>5-10分钟社区</w:t>
      </w:r>
      <w:r>
        <w:rPr>
          <w:rFonts w:hint="eastAsia"/>
          <w:color w:val="auto"/>
          <w:highlight w:val="none"/>
        </w:rPr>
        <w:t>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单元内规划形成1所</w:t>
      </w:r>
      <w:r>
        <w:rPr>
          <w:rFonts w:hint="eastAsia"/>
          <w:color w:val="auto"/>
          <w:highlight w:val="none"/>
          <w:lang w:val="en-US" w:eastAsia="zh-CN"/>
        </w:rPr>
        <w:t>完中、1所</w:t>
      </w:r>
      <w:r>
        <w:rPr>
          <w:rFonts w:hint="eastAsia"/>
          <w:color w:val="auto"/>
          <w:highlight w:val="none"/>
        </w:rPr>
        <w:t>高中、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所初中、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35.99</w:t>
      </w:r>
      <w:r>
        <w:rPr>
          <w:rFonts w:hint="eastAsia"/>
          <w:color w:val="auto"/>
          <w:highlight w:val="none"/>
        </w:rPr>
        <w:t>公项。其中，保留</w:t>
      </w:r>
      <w:r>
        <w:rPr>
          <w:rFonts w:hint="eastAsia"/>
          <w:color w:val="auto"/>
          <w:highlight w:val="none"/>
          <w:lang w:val="en-US" w:eastAsia="zh-CN"/>
        </w:rPr>
        <w:t>1所50班初中、1所66班小学、1所18班小学，</w:t>
      </w:r>
      <w:r>
        <w:rPr>
          <w:rFonts w:hint="eastAsia"/>
          <w:color w:val="auto"/>
          <w:highlight w:val="none"/>
        </w:rPr>
        <w:t>规划新增1所</w:t>
      </w:r>
      <w:r>
        <w:rPr>
          <w:rFonts w:hint="eastAsia"/>
          <w:color w:val="auto"/>
          <w:highlight w:val="none"/>
          <w:lang w:val="en-US" w:eastAsia="zh-CN"/>
        </w:rPr>
        <w:t>60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完</w:t>
      </w:r>
      <w:r>
        <w:rPr>
          <w:rFonts w:hint="eastAsia"/>
          <w:color w:val="auto"/>
          <w:highlight w:val="none"/>
        </w:rPr>
        <w:t>中、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所5</w:t>
      </w:r>
      <w:r>
        <w:rPr>
          <w:color w:val="auto"/>
          <w:highlight w:val="none"/>
        </w:rPr>
        <w:t>4</w:t>
      </w:r>
      <w:r>
        <w:rPr>
          <w:rFonts w:hint="eastAsia"/>
          <w:color w:val="auto"/>
          <w:highlight w:val="none"/>
        </w:rPr>
        <w:t>班高中、1所</w:t>
      </w:r>
      <w:r>
        <w:rPr>
          <w:rFonts w:hint="eastAsia"/>
          <w:color w:val="auto"/>
          <w:highlight w:val="none"/>
          <w:lang w:val="en-US" w:eastAsia="zh-CN"/>
        </w:rPr>
        <w:t>24</w:t>
      </w:r>
      <w:r>
        <w:rPr>
          <w:rFonts w:hint="eastAsia"/>
          <w:color w:val="auto"/>
          <w:highlight w:val="none"/>
        </w:rPr>
        <w:t>班小学、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</w:t>
      </w:r>
      <w:r>
        <w:rPr>
          <w:rFonts w:hint="eastAsia"/>
          <w:color w:val="auto"/>
          <w:highlight w:val="none"/>
        </w:rPr>
        <w:t>医疗卫生用地</w:t>
      </w:r>
      <w:r>
        <w:rPr>
          <w:rFonts w:hint="eastAsia"/>
          <w:color w:val="auto"/>
          <w:highlight w:val="none"/>
          <w:lang w:val="en-US" w:eastAsia="zh-CN"/>
        </w:rPr>
        <w:t>14.12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处市级医疗卫生设施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按照“15分钟—5-10分钟”社区生活圈布局社区医疗卫生设施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卫生服务中心，用地面积</w:t>
      </w:r>
      <w:r>
        <w:rPr>
          <w:rFonts w:hint="eastAsia"/>
          <w:color w:val="auto"/>
          <w:highlight w:val="none"/>
          <w:lang w:val="en-US" w:eastAsia="zh-CN"/>
        </w:rPr>
        <w:t>0.43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文化活动中心，用地面积</w:t>
      </w:r>
      <w:r>
        <w:rPr>
          <w:rFonts w:hint="eastAsia"/>
          <w:color w:val="auto"/>
          <w:highlight w:val="none"/>
          <w:lang w:val="en-US" w:eastAsia="zh-CN"/>
        </w:rPr>
        <w:t>0.46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</w:t>
      </w:r>
      <w:r>
        <w:rPr>
          <w:rFonts w:hint="eastAsia"/>
          <w:color w:val="auto"/>
          <w:highlight w:val="none"/>
          <w:lang w:val="en-US" w:eastAsia="zh-CN"/>
        </w:rPr>
        <w:t>区域级体育设施</w:t>
      </w:r>
      <w:r>
        <w:rPr>
          <w:rFonts w:hint="eastAsia"/>
          <w:color w:val="auto"/>
          <w:highlight w:val="none"/>
        </w:rPr>
        <w:t>用地</w:t>
      </w:r>
      <w:r>
        <w:rPr>
          <w:rFonts w:hint="eastAsia"/>
          <w:color w:val="auto"/>
          <w:highlight w:val="none"/>
          <w:lang w:val="en-US" w:eastAsia="zh-CN"/>
        </w:rPr>
        <w:t>12.98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单元内保留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处市级</w:t>
      </w:r>
      <w:r>
        <w:rPr>
          <w:rFonts w:hint="eastAsia"/>
          <w:color w:val="auto"/>
          <w:highlight w:val="none"/>
          <w:lang w:val="en-US" w:eastAsia="zh-CN"/>
        </w:rPr>
        <w:t>体育设施。</w:t>
      </w: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处，用地面积</w:t>
      </w:r>
      <w:r>
        <w:rPr>
          <w:rFonts w:hint="eastAsia"/>
          <w:color w:val="auto"/>
          <w:highlight w:val="none"/>
          <w:lang w:val="en-US" w:eastAsia="zh-CN"/>
        </w:rPr>
        <w:t>1.03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结合绿地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设置</w:t>
      </w:r>
      <w:r>
        <w:rPr>
          <w:rFonts w:hint="eastAsia"/>
          <w:color w:val="auto"/>
          <w:highlight w:val="none"/>
          <w:lang w:val="en-US" w:eastAsia="zh-CN"/>
        </w:rPr>
        <w:t>4</w:t>
      </w:r>
      <w:r>
        <w:rPr>
          <w:rFonts w:hint="eastAsia"/>
          <w:color w:val="auto"/>
          <w:highlight w:val="none"/>
        </w:rPr>
        <w:t>处小型多功能运动场地。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规划区域级社会福利设施用地4.25公顷，单元内保留1处区级社会福利设施。</w:t>
      </w: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0.55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六、绿地与开敞空间规划</w:t>
      </w:r>
    </w:p>
    <w:p w14:paraId="1ED28F6D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5.49公顷。规划社区公园2处、专类公园1处，为城市居民提供便捷舒适的公共活动空间。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2B45FF65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形成“五横五纵”的主次干路网体系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“五横”：北三号路，红线宽度30米；北五号路，红线宽度30米；青华路，红线宽度30米；田心路，红线宽度50米；北十一号路，红线宽度40米。“五纵”：前程大道，红线宽度3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米；北一街，红线宽度30米；玉带路，红线宽度3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米；西河北路，红线宽度3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米、26米；缅宁大道，红线宽度64米、61米。</w:t>
      </w:r>
    </w:p>
    <w:p w14:paraId="09AD806C"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市政公用设施规划</w:t>
      </w:r>
    </w:p>
    <w:p w14:paraId="766CD5E2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单元内共设置环卫设施3处。</w:t>
      </w:r>
      <w:bookmarkStart w:id="0" w:name="_GoBack"/>
      <w:bookmarkEnd w:id="0"/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4F89B780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单元内结合具备一定基础设施条件的公共建筑及公共场地设置5处应急避难场所。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961D18"/>
    <w:multiLevelType w:val="singleLevel"/>
    <w:tmpl w:val="24961D18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2F926E6"/>
    <w:rsid w:val="06FD4A88"/>
    <w:rsid w:val="0F602D4B"/>
    <w:rsid w:val="10A67870"/>
    <w:rsid w:val="11053017"/>
    <w:rsid w:val="22CE584C"/>
    <w:rsid w:val="32951856"/>
    <w:rsid w:val="32E5190A"/>
    <w:rsid w:val="3378B11C"/>
    <w:rsid w:val="39E96271"/>
    <w:rsid w:val="3B255741"/>
    <w:rsid w:val="3BCB683D"/>
    <w:rsid w:val="3D7EB1D0"/>
    <w:rsid w:val="44685924"/>
    <w:rsid w:val="4CB21B0D"/>
    <w:rsid w:val="4FD69422"/>
    <w:rsid w:val="5FDA4CAE"/>
    <w:rsid w:val="638FC954"/>
    <w:rsid w:val="65AF55F0"/>
    <w:rsid w:val="66A31699"/>
    <w:rsid w:val="69E2128F"/>
    <w:rsid w:val="6F627203"/>
    <w:rsid w:val="767F6880"/>
    <w:rsid w:val="77BC26B3"/>
    <w:rsid w:val="79A7316C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1399</Words>
  <Characters>1547</Characters>
  <Lines>13</Lines>
  <Paragraphs>3</Paragraphs>
  <TotalTime>0</TotalTime>
  <ScaleCrop>false</ScaleCrop>
  <LinksUpToDate>false</LinksUpToDate>
  <CharactersWithSpaces>1547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2024-10-18T06:57:22Z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38325E2CB9A647E7829146624E45D445_13</vt:lpwstr>
  </property>
</Properties>
</file>