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64F2CE">
      <w:pPr>
        <w:spacing w:line="540" w:lineRule="exact"/>
        <w:jc w:val="center"/>
        <w:rPr>
          <w:rFonts w:eastAsia="方正小标宋简体"/>
          <w:color w:val="auto"/>
          <w:sz w:val="44"/>
          <w:szCs w:val="44"/>
          <w:highlight w:val="none"/>
        </w:rPr>
      </w:pPr>
      <w:r>
        <w:rPr>
          <w:rFonts w:hint="eastAsia" w:eastAsia="方正小标宋简体"/>
          <w:color w:val="auto"/>
          <w:sz w:val="44"/>
          <w:szCs w:val="44"/>
          <w:highlight w:val="none"/>
          <w:lang w:val="en-US" w:eastAsia="zh-CN"/>
        </w:rPr>
        <w:t xml:space="preserve">  </w:t>
      </w:r>
      <w:r>
        <w:rPr>
          <w:rFonts w:hint="eastAsia" w:eastAsia="方正小标宋简体"/>
          <w:color w:val="auto"/>
          <w:sz w:val="44"/>
          <w:szCs w:val="44"/>
          <w:highlight w:val="none"/>
        </w:rPr>
        <w:t>临沧市</w:t>
      </w:r>
      <w:r>
        <w:rPr>
          <w:rFonts w:eastAsia="方正小标宋简体"/>
          <w:color w:val="auto"/>
          <w:sz w:val="44"/>
          <w:szCs w:val="44"/>
          <w:highlight w:val="none"/>
        </w:rPr>
        <w:t>中心城区</w:t>
      </w:r>
      <w:r>
        <w:rPr>
          <w:rFonts w:hint="eastAsia" w:eastAsia="方正小标宋简体"/>
          <w:color w:val="auto"/>
          <w:sz w:val="44"/>
          <w:szCs w:val="44"/>
          <w:highlight w:val="none"/>
          <w:lang w:val="en-US" w:eastAsia="zh-CN"/>
        </w:rPr>
        <w:t>博尚火车站</w:t>
      </w:r>
      <w:r>
        <w:rPr>
          <w:rFonts w:eastAsia="方正小标宋简体"/>
          <w:color w:val="auto"/>
          <w:sz w:val="44"/>
          <w:szCs w:val="44"/>
          <w:highlight w:val="none"/>
        </w:rPr>
        <w:t>单元</w:t>
      </w:r>
    </w:p>
    <w:p w14:paraId="3FC3AF44">
      <w:pPr>
        <w:spacing w:line="540" w:lineRule="exact"/>
        <w:jc w:val="center"/>
        <w:rPr>
          <w:color w:val="auto"/>
          <w:highlight w:val="none"/>
        </w:rPr>
      </w:pPr>
      <w:r>
        <w:rPr>
          <w:rFonts w:eastAsia="方正小标宋简体"/>
          <w:color w:val="auto"/>
          <w:sz w:val="44"/>
          <w:szCs w:val="44"/>
          <w:highlight w:val="none"/>
        </w:rPr>
        <w:t>详细规划草案公示</w:t>
      </w:r>
    </w:p>
    <w:p w14:paraId="51278E42">
      <w:pPr>
        <w:spacing w:line="540" w:lineRule="exact"/>
        <w:ind w:firstLine="640" w:firstLineChars="200"/>
        <w:rPr>
          <w:rFonts w:hint="eastAsia" w:ascii="方正黑体_GBK" w:hAnsi="方正黑体_GBK" w:eastAsia="方正黑体_GBK" w:cs="方正黑体_GBK"/>
          <w:color w:val="auto"/>
          <w:highlight w:val="none"/>
        </w:rPr>
      </w:pPr>
      <w:r>
        <w:rPr>
          <w:rFonts w:hint="eastAsia" w:ascii="方正黑体_GBK" w:hAnsi="方正黑体_GBK" w:eastAsia="方正黑体_GBK" w:cs="方正黑体_GBK"/>
          <w:color w:val="auto"/>
          <w:highlight w:val="none"/>
        </w:rPr>
        <w:t>一、规划范围</w:t>
      </w:r>
    </w:p>
    <w:p w14:paraId="7589498C">
      <w:pPr>
        <w:spacing w:line="540" w:lineRule="exact"/>
        <w:ind w:firstLine="640" w:firstLineChars="200"/>
        <w:rPr>
          <w:color w:val="auto"/>
          <w:highlight w:val="none"/>
        </w:rPr>
      </w:pPr>
      <w:r>
        <w:rPr>
          <w:rFonts w:hint="eastAsia"/>
          <w:color w:val="auto"/>
          <w:highlight w:val="none"/>
        </w:rPr>
        <w:t>本单元位于</w:t>
      </w:r>
      <w:r>
        <w:rPr>
          <w:rFonts w:hint="eastAsia"/>
          <w:color w:val="auto"/>
          <w:highlight w:val="none"/>
          <w:lang w:val="en-US" w:eastAsia="zh-CN"/>
        </w:rPr>
        <w:t>临沧市临翔区</w:t>
      </w:r>
      <w:r>
        <w:rPr>
          <w:rFonts w:hint="eastAsia"/>
          <w:color w:val="auto"/>
          <w:highlight w:val="none"/>
        </w:rPr>
        <w:t>，西至</w:t>
      </w:r>
      <w:r>
        <w:rPr>
          <w:rFonts w:hint="eastAsia"/>
          <w:color w:val="auto"/>
          <w:highlight w:val="none"/>
          <w:lang w:val="en-US" w:eastAsia="zh-CN"/>
        </w:rPr>
        <w:t>中心城区西侧边界</w:t>
      </w:r>
      <w:r>
        <w:rPr>
          <w:rFonts w:hint="eastAsia"/>
          <w:color w:val="auto"/>
          <w:highlight w:val="none"/>
        </w:rPr>
        <w:t>，南至</w:t>
      </w:r>
      <w:r>
        <w:rPr>
          <w:rFonts w:hint="eastAsia"/>
          <w:color w:val="auto"/>
          <w:highlight w:val="none"/>
          <w:lang w:val="en-US" w:eastAsia="zh-CN"/>
        </w:rPr>
        <w:t>214国道</w:t>
      </w:r>
      <w:r>
        <w:rPr>
          <w:rFonts w:hint="eastAsia"/>
          <w:color w:val="auto"/>
          <w:highlight w:val="none"/>
        </w:rPr>
        <w:t>，东至</w:t>
      </w:r>
      <w:r>
        <w:rPr>
          <w:rFonts w:hint="eastAsia"/>
          <w:color w:val="auto"/>
          <w:highlight w:val="none"/>
          <w:lang w:val="en-US" w:eastAsia="zh-CN"/>
        </w:rPr>
        <w:t>南汀河</w:t>
      </w:r>
      <w:r>
        <w:rPr>
          <w:rFonts w:hint="eastAsia"/>
          <w:color w:val="auto"/>
          <w:highlight w:val="none"/>
        </w:rPr>
        <w:t>，北至</w:t>
      </w:r>
      <w:r>
        <w:rPr>
          <w:rFonts w:hint="eastAsia"/>
          <w:color w:val="auto"/>
          <w:highlight w:val="none"/>
          <w:lang w:val="en-US" w:eastAsia="zh-CN"/>
        </w:rPr>
        <w:t>中心城区北侧边界</w:t>
      </w:r>
      <w:r>
        <w:rPr>
          <w:rFonts w:hint="eastAsia"/>
          <w:color w:val="auto"/>
          <w:highlight w:val="none"/>
        </w:rPr>
        <w:t>，单元编码为530902102010001。</w:t>
      </w:r>
    </w:p>
    <w:p w14:paraId="2ED77C51">
      <w:pPr>
        <w:spacing w:line="540" w:lineRule="exact"/>
        <w:ind w:firstLine="640" w:firstLineChars="200"/>
        <w:rPr>
          <w:rFonts w:hint="eastAsia" w:ascii="方正黑体_GBK" w:hAnsi="方正黑体_GBK" w:eastAsia="方正黑体_GBK" w:cs="方正黑体_GBK"/>
          <w:color w:val="auto"/>
          <w:highlight w:val="none"/>
        </w:rPr>
      </w:pPr>
      <w:r>
        <w:rPr>
          <w:rFonts w:hint="eastAsia" w:ascii="方正黑体_GBK" w:hAnsi="方正黑体_GBK" w:eastAsia="方正黑体_GBK" w:cs="方正黑体_GBK"/>
          <w:color w:val="auto"/>
          <w:highlight w:val="none"/>
        </w:rPr>
        <w:t>二、目标定位与功能定位</w:t>
      </w:r>
    </w:p>
    <w:p w14:paraId="1731B759">
      <w:pPr>
        <w:spacing w:line="540" w:lineRule="exact"/>
        <w:ind w:firstLine="640" w:firstLineChars="200"/>
        <w:rPr>
          <w:rFonts w:hint="default"/>
          <w:color w:val="auto"/>
          <w:highlight w:val="none"/>
          <w:lang w:val="en-US" w:eastAsia="zh-CN"/>
        </w:rPr>
      </w:pPr>
      <w:r>
        <w:rPr>
          <w:rFonts w:hint="eastAsia"/>
          <w:color w:val="auto"/>
          <w:highlight w:val="none"/>
          <w:lang w:val="en-US" w:eastAsia="zh-CN"/>
        </w:rPr>
        <w:t>本单元目标定位为：临沧市中心城区南部的物流枢纽片区和职业教育片区。本单元以博尚火车站的物流产业和职教园区的教育功能的综合功能为主。</w:t>
      </w:r>
    </w:p>
    <w:p w14:paraId="08C61AC7">
      <w:pPr>
        <w:spacing w:line="540" w:lineRule="exact"/>
        <w:ind w:firstLine="640" w:firstLineChars="200"/>
        <w:rPr>
          <w:rFonts w:hint="eastAsia" w:ascii="方正黑体_GBK" w:hAnsi="方正黑体_GBK" w:eastAsia="方正黑体_GBK" w:cs="方正黑体_GBK"/>
          <w:color w:val="auto"/>
          <w:highlight w:val="none"/>
        </w:rPr>
      </w:pPr>
      <w:r>
        <w:rPr>
          <w:rFonts w:hint="eastAsia" w:ascii="方正黑体_GBK" w:hAnsi="方正黑体_GBK" w:eastAsia="方正黑体_GBK" w:cs="方正黑体_GBK"/>
          <w:color w:val="auto"/>
          <w:highlight w:val="none"/>
        </w:rPr>
        <w:t>三、规模控制与用地结构</w:t>
      </w:r>
    </w:p>
    <w:p w14:paraId="7A7109DC">
      <w:pPr>
        <w:spacing w:line="540" w:lineRule="exact"/>
        <w:ind w:firstLine="640" w:firstLineChars="200"/>
        <w:rPr>
          <w:color w:val="auto"/>
          <w:highlight w:val="none"/>
        </w:rPr>
      </w:pPr>
      <w:r>
        <w:rPr>
          <w:rFonts w:hint="eastAsia"/>
          <w:color w:val="auto"/>
          <w:highlight w:val="none"/>
        </w:rPr>
        <w:t>本单元常住人口0.3万人，单元面积</w:t>
      </w:r>
      <w:r>
        <w:rPr>
          <w:color w:val="auto"/>
          <w:highlight w:val="none"/>
        </w:rPr>
        <w:t>764</w:t>
      </w:r>
      <w:r>
        <w:rPr>
          <w:rFonts w:hint="eastAsia"/>
          <w:color w:val="auto"/>
          <w:highlight w:val="none"/>
        </w:rPr>
        <w:t>.</w:t>
      </w:r>
      <w:r>
        <w:rPr>
          <w:color w:val="auto"/>
          <w:highlight w:val="none"/>
        </w:rPr>
        <w:t>38</w:t>
      </w:r>
      <w:r>
        <w:rPr>
          <w:rFonts w:hint="eastAsia"/>
          <w:color w:val="auto"/>
          <w:highlight w:val="none"/>
        </w:rPr>
        <w:t>公顷。城镇开发边界内建设用地规模104.02公顷。</w:t>
      </w:r>
      <w:r>
        <w:rPr>
          <w:color w:val="auto"/>
          <w:highlight w:val="none"/>
        </w:rPr>
        <w:t>其中</w:t>
      </w:r>
      <w:r>
        <w:rPr>
          <w:rFonts w:hint="eastAsia"/>
          <w:color w:val="auto"/>
          <w:highlight w:val="none"/>
        </w:rPr>
        <w:t>，</w:t>
      </w:r>
      <w:r>
        <w:rPr>
          <w:color w:val="auto"/>
          <w:highlight w:val="none"/>
        </w:rPr>
        <w:t>居住用地</w:t>
      </w:r>
      <w:r>
        <w:rPr>
          <w:rFonts w:hint="eastAsia"/>
          <w:color w:val="auto"/>
          <w:highlight w:val="none"/>
        </w:rPr>
        <w:t>2.93</w:t>
      </w:r>
      <w:r>
        <w:rPr>
          <w:color w:val="auto"/>
          <w:highlight w:val="none"/>
        </w:rPr>
        <w:t>公顷</w:t>
      </w:r>
      <w:r>
        <w:rPr>
          <w:rFonts w:hint="eastAsia"/>
          <w:color w:val="auto"/>
          <w:highlight w:val="none"/>
        </w:rPr>
        <w:t>，</w:t>
      </w:r>
      <w:r>
        <w:rPr>
          <w:color w:val="auto"/>
          <w:highlight w:val="none"/>
        </w:rPr>
        <w:t>公共管理与公共服务用地</w:t>
      </w:r>
      <w:r>
        <w:rPr>
          <w:rFonts w:hint="eastAsia"/>
          <w:color w:val="auto"/>
          <w:highlight w:val="none"/>
        </w:rPr>
        <w:t>65.23公顷</w:t>
      </w:r>
      <w:r>
        <w:rPr>
          <w:color w:val="auto"/>
          <w:highlight w:val="none"/>
        </w:rPr>
        <w:t>，</w:t>
      </w:r>
      <w:r>
        <w:rPr>
          <w:rFonts w:hint="eastAsia"/>
          <w:color w:val="auto"/>
          <w:highlight w:val="none"/>
        </w:rPr>
        <w:t>仓储</w:t>
      </w:r>
      <w:r>
        <w:rPr>
          <w:color w:val="auto"/>
          <w:highlight w:val="none"/>
        </w:rPr>
        <w:t>用地</w:t>
      </w:r>
      <w:r>
        <w:rPr>
          <w:rFonts w:hint="eastAsia"/>
          <w:color w:val="auto"/>
          <w:highlight w:val="none"/>
        </w:rPr>
        <w:t>33.02</w:t>
      </w:r>
      <w:r>
        <w:rPr>
          <w:color w:val="auto"/>
          <w:highlight w:val="none"/>
        </w:rPr>
        <w:t>公顷，交通运输用地</w:t>
      </w:r>
      <w:r>
        <w:rPr>
          <w:rFonts w:hint="eastAsia"/>
          <w:color w:val="auto"/>
          <w:highlight w:val="none"/>
        </w:rPr>
        <w:t>2.13</w:t>
      </w:r>
      <w:r>
        <w:rPr>
          <w:color w:val="auto"/>
          <w:highlight w:val="none"/>
        </w:rPr>
        <w:t>公顷，</w:t>
      </w:r>
      <w:r>
        <w:rPr>
          <w:rFonts w:hint="eastAsia"/>
          <w:color w:val="auto"/>
          <w:highlight w:val="none"/>
        </w:rPr>
        <w:t>公用设施用地</w:t>
      </w:r>
      <w:r>
        <w:rPr>
          <w:color w:val="auto"/>
          <w:highlight w:val="none"/>
        </w:rPr>
        <w:t>0.71</w:t>
      </w:r>
      <w:r>
        <w:rPr>
          <w:rFonts w:hint="eastAsia"/>
          <w:color w:val="auto"/>
          <w:highlight w:val="none"/>
        </w:rPr>
        <w:t>公顷</w:t>
      </w:r>
      <w:r>
        <w:rPr>
          <w:color w:val="auto"/>
          <w:highlight w:val="none"/>
        </w:rPr>
        <w:t>。</w:t>
      </w:r>
    </w:p>
    <w:p w14:paraId="5D9444FD">
      <w:pPr>
        <w:spacing w:line="540" w:lineRule="exact"/>
        <w:ind w:firstLine="640" w:firstLineChars="200"/>
        <w:rPr>
          <w:rFonts w:hint="eastAsia" w:ascii="方正黑体_GBK" w:hAnsi="方正黑体_GBK" w:eastAsia="方正黑体_GBK" w:cs="方正黑体_GBK"/>
          <w:color w:val="auto"/>
          <w:highlight w:val="none"/>
        </w:rPr>
      </w:pPr>
      <w:r>
        <w:rPr>
          <w:rFonts w:hint="eastAsia" w:ascii="方正黑体_GBK" w:hAnsi="方正黑体_GBK" w:eastAsia="方正黑体_GBK" w:cs="方正黑体_GBK"/>
          <w:color w:val="auto"/>
          <w:highlight w:val="none"/>
          <w:lang w:val="en-US" w:eastAsia="zh-CN"/>
        </w:rPr>
        <w:t>四</w:t>
      </w:r>
      <w:r>
        <w:rPr>
          <w:rFonts w:hint="eastAsia" w:ascii="方正黑体_GBK" w:hAnsi="方正黑体_GBK" w:eastAsia="方正黑体_GBK" w:cs="方正黑体_GBK"/>
          <w:color w:val="auto"/>
          <w:highlight w:val="none"/>
        </w:rPr>
        <w:t>、底线管控</w:t>
      </w:r>
    </w:p>
    <w:p w14:paraId="7E5CB372">
      <w:pPr>
        <w:spacing w:line="540" w:lineRule="exact"/>
        <w:ind w:firstLine="640" w:firstLineChars="200"/>
        <w:rPr>
          <w:rFonts w:ascii="方正黑体_GBK" w:hAnsi="方正黑体_GBK" w:eastAsia="方正黑体_GBK" w:cs="方正黑体_GBK"/>
          <w:color w:val="auto"/>
          <w:highlight w:val="none"/>
        </w:rPr>
      </w:pPr>
      <w:r>
        <w:rPr>
          <w:rFonts w:hint="eastAsia"/>
          <w:color w:val="auto"/>
          <w:highlight w:val="none"/>
        </w:rPr>
        <w:t>本单元涉及城镇开发边界104.16公顷，永久基本农田56.43公顷，不涉及生态保护红线。</w:t>
      </w:r>
    </w:p>
    <w:p w14:paraId="361A9985">
      <w:pPr>
        <w:spacing w:line="540" w:lineRule="exact"/>
        <w:ind w:firstLine="640" w:firstLineChars="200"/>
        <w:rPr>
          <w:rFonts w:hint="eastAsia" w:ascii="方正黑体_GBK" w:hAnsi="方正黑体_GBK" w:eastAsia="方正黑体_GBK" w:cs="方正黑体_GBK"/>
          <w:color w:val="auto"/>
          <w:highlight w:val="none"/>
        </w:rPr>
      </w:pPr>
      <w:r>
        <w:rPr>
          <w:rFonts w:hint="eastAsia" w:ascii="方正黑体_GBK" w:hAnsi="方正黑体_GBK" w:eastAsia="方正黑体_GBK" w:cs="方正黑体_GBK"/>
          <w:color w:val="auto"/>
          <w:highlight w:val="none"/>
          <w:lang w:val="en-US" w:eastAsia="zh-CN"/>
        </w:rPr>
        <w:t>五</w:t>
      </w:r>
      <w:r>
        <w:rPr>
          <w:rFonts w:hint="eastAsia" w:ascii="方正黑体_GBK" w:hAnsi="方正黑体_GBK" w:eastAsia="方正黑体_GBK" w:cs="方正黑体_GBK"/>
          <w:color w:val="auto"/>
          <w:highlight w:val="none"/>
        </w:rPr>
        <w:t>、公共服务设施规划</w:t>
      </w:r>
    </w:p>
    <w:p w14:paraId="35805284">
      <w:pPr>
        <w:spacing w:line="540" w:lineRule="exact"/>
        <w:ind w:left="640"/>
        <w:rPr>
          <w:rFonts w:hint="eastAsia" w:ascii="方正楷体_GBK" w:hAnsi="方正楷体_GBK" w:eastAsia="方正楷体_GBK" w:cs="方正楷体_GBK"/>
          <w:color w:val="auto"/>
          <w:highlight w:val="none"/>
        </w:rPr>
      </w:pPr>
      <w:r>
        <w:rPr>
          <w:rFonts w:hint="eastAsia" w:ascii="方正楷体_GBK" w:hAnsi="方正楷体_GBK" w:eastAsia="方正楷体_GBK" w:cs="方正楷体_GBK"/>
          <w:color w:val="auto"/>
          <w:highlight w:val="none"/>
        </w:rPr>
        <w:t>（</w:t>
      </w:r>
      <w:r>
        <w:rPr>
          <w:rFonts w:hint="eastAsia" w:ascii="方正楷体_GBK" w:hAnsi="方正楷体_GBK" w:eastAsia="方正楷体_GBK" w:cs="方正楷体_GBK"/>
          <w:color w:val="auto"/>
          <w:highlight w:val="none"/>
          <w:lang w:val="en-US" w:eastAsia="zh-CN"/>
        </w:rPr>
        <w:t>一</w:t>
      </w:r>
      <w:r>
        <w:rPr>
          <w:rFonts w:hint="eastAsia" w:ascii="方正楷体_GBK" w:hAnsi="方正楷体_GBK" w:eastAsia="方正楷体_GBK" w:cs="方正楷体_GBK"/>
          <w:color w:val="auto"/>
          <w:highlight w:val="none"/>
        </w:rPr>
        <w:t>）教育设施</w:t>
      </w:r>
    </w:p>
    <w:p w14:paraId="16EA6B92">
      <w:pPr>
        <w:spacing w:line="540" w:lineRule="exact"/>
        <w:ind w:firstLine="640"/>
        <w:rPr>
          <w:color w:val="auto"/>
          <w:highlight w:val="none"/>
        </w:rPr>
      </w:pPr>
      <w:r>
        <w:rPr>
          <w:rFonts w:hint="eastAsia"/>
          <w:color w:val="auto"/>
          <w:highlight w:val="none"/>
        </w:rPr>
        <w:t>规划</w:t>
      </w:r>
      <w:r>
        <w:rPr>
          <w:rFonts w:hint="eastAsia"/>
          <w:color w:val="auto"/>
          <w:highlight w:val="none"/>
          <w:lang w:val="en-US" w:eastAsia="zh-CN"/>
        </w:rPr>
        <w:t>区域级教育设施</w:t>
      </w:r>
      <w:r>
        <w:rPr>
          <w:rFonts w:hint="eastAsia"/>
          <w:color w:val="auto"/>
          <w:highlight w:val="none"/>
        </w:rPr>
        <w:t>用地</w:t>
      </w:r>
      <w:r>
        <w:rPr>
          <w:rFonts w:hint="eastAsia"/>
          <w:color w:val="auto"/>
          <w:highlight w:val="none"/>
          <w:lang w:val="en-US" w:eastAsia="zh-CN"/>
        </w:rPr>
        <w:t>57.70</w:t>
      </w:r>
      <w:r>
        <w:rPr>
          <w:rFonts w:hint="eastAsia"/>
          <w:color w:val="auto"/>
          <w:highlight w:val="none"/>
        </w:rPr>
        <w:t>公顷</w:t>
      </w:r>
      <w:r>
        <w:rPr>
          <w:rFonts w:hint="eastAsia"/>
          <w:color w:val="auto"/>
          <w:highlight w:val="none"/>
          <w:lang w:eastAsia="zh-CN"/>
        </w:rPr>
        <w:t>，</w:t>
      </w:r>
      <w:r>
        <w:rPr>
          <w:rFonts w:hint="eastAsia"/>
          <w:color w:val="auto"/>
          <w:highlight w:val="none"/>
        </w:rPr>
        <w:t>单元内</w:t>
      </w:r>
      <w:r>
        <w:rPr>
          <w:rFonts w:hint="eastAsia"/>
          <w:color w:val="auto"/>
          <w:highlight w:val="none"/>
          <w:lang w:val="en-US" w:eastAsia="zh-CN"/>
        </w:rPr>
        <w:t>新建1</w:t>
      </w:r>
      <w:r>
        <w:rPr>
          <w:rFonts w:hint="eastAsia"/>
          <w:color w:val="auto"/>
          <w:highlight w:val="none"/>
        </w:rPr>
        <w:t>处</w:t>
      </w:r>
      <w:r>
        <w:rPr>
          <w:rFonts w:hint="eastAsia"/>
          <w:color w:val="auto"/>
          <w:highlight w:val="none"/>
          <w:lang w:val="en-US" w:eastAsia="zh-CN"/>
        </w:rPr>
        <w:t>职业学校。</w:t>
      </w:r>
      <w:r>
        <w:rPr>
          <w:rFonts w:hint="eastAsia"/>
          <w:color w:val="auto"/>
          <w:highlight w:val="none"/>
        </w:rPr>
        <w:t>单元内规划形成</w:t>
      </w:r>
      <w:r>
        <w:rPr>
          <w:rFonts w:hint="eastAsia"/>
          <w:color w:val="auto"/>
          <w:highlight w:val="none"/>
          <w:lang w:val="en-US" w:eastAsia="zh-CN"/>
        </w:rPr>
        <w:t>2</w:t>
      </w:r>
      <w:r>
        <w:rPr>
          <w:rFonts w:hint="eastAsia"/>
          <w:color w:val="auto"/>
          <w:highlight w:val="none"/>
        </w:rPr>
        <w:t>所小学，用地面积</w:t>
      </w:r>
      <w:r>
        <w:rPr>
          <w:rFonts w:hint="eastAsia"/>
          <w:color w:val="auto"/>
          <w:highlight w:val="none"/>
          <w:lang w:val="en-US" w:eastAsia="zh-CN"/>
        </w:rPr>
        <w:t>1.06</w:t>
      </w:r>
      <w:r>
        <w:rPr>
          <w:rFonts w:hint="eastAsia"/>
          <w:color w:val="auto"/>
          <w:highlight w:val="none"/>
        </w:rPr>
        <w:t>公项。其中，保留</w:t>
      </w:r>
      <w:r>
        <w:rPr>
          <w:rFonts w:hint="eastAsia"/>
          <w:color w:val="auto"/>
          <w:highlight w:val="none"/>
          <w:lang w:val="en-US" w:eastAsia="zh-CN"/>
        </w:rPr>
        <w:t>2</w:t>
      </w:r>
      <w:r>
        <w:rPr>
          <w:rFonts w:hint="eastAsia"/>
          <w:color w:val="auto"/>
          <w:highlight w:val="none"/>
        </w:rPr>
        <w:t>所</w:t>
      </w:r>
      <w:r>
        <w:rPr>
          <w:rFonts w:hint="eastAsia"/>
          <w:color w:val="auto"/>
          <w:highlight w:val="none"/>
          <w:lang w:val="en-US" w:eastAsia="zh-CN"/>
        </w:rPr>
        <w:t>6</w:t>
      </w:r>
      <w:r>
        <w:rPr>
          <w:rFonts w:hint="eastAsia"/>
          <w:color w:val="auto"/>
          <w:highlight w:val="none"/>
        </w:rPr>
        <w:t>班小学。</w:t>
      </w:r>
    </w:p>
    <w:p w14:paraId="3A2D7CCE">
      <w:pPr>
        <w:spacing w:line="540" w:lineRule="exact"/>
        <w:ind w:left="640"/>
        <w:rPr>
          <w:rFonts w:hint="eastAsia" w:ascii="方正楷体_GBK" w:hAnsi="方正楷体_GBK" w:eastAsia="方正楷体_GBK" w:cs="方正楷体_GBK"/>
          <w:color w:val="auto"/>
          <w:highlight w:val="none"/>
        </w:rPr>
      </w:pPr>
      <w:r>
        <w:rPr>
          <w:rFonts w:hint="eastAsia" w:ascii="方正楷体_GBK" w:hAnsi="方正楷体_GBK" w:eastAsia="方正楷体_GBK" w:cs="方正楷体_GBK"/>
          <w:color w:val="auto"/>
          <w:highlight w:val="none"/>
        </w:rPr>
        <w:t>（</w:t>
      </w:r>
      <w:r>
        <w:rPr>
          <w:rFonts w:hint="eastAsia" w:ascii="方正楷体_GBK" w:hAnsi="方正楷体_GBK" w:eastAsia="方正楷体_GBK" w:cs="方正楷体_GBK"/>
          <w:color w:val="auto"/>
          <w:highlight w:val="none"/>
          <w:lang w:val="en-US" w:eastAsia="zh-CN"/>
        </w:rPr>
        <w:t>二</w:t>
      </w:r>
      <w:r>
        <w:rPr>
          <w:rFonts w:hint="eastAsia" w:ascii="方正楷体_GBK" w:hAnsi="方正楷体_GBK" w:eastAsia="方正楷体_GBK" w:cs="方正楷体_GBK"/>
          <w:color w:val="auto"/>
          <w:highlight w:val="none"/>
        </w:rPr>
        <w:t>）医疗卫生设施</w:t>
      </w:r>
    </w:p>
    <w:p w14:paraId="7E19D096">
      <w:pPr>
        <w:spacing w:line="540" w:lineRule="exact"/>
        <w:ind w:firstLine="640" w:firstLineChars="200"/>
        <w:rPr>
          <w:rFonts w:hint="eastAsia" w:eastAsia="方正仿宋_GBK"/>
          <w:color w:val="auto"/>
          <w:highlight w:val="none"/>
          <w:lang w:val="en-US" w:eastAsia="zh-CN"/>
        </w:rPr>
      </w:pPr>
      <w:r>
        <w:rPr>
          <w:rFonts w:hint="eastAsia"/>
          <w:color w:val="auto"/>
          <w:highlight w:val="none"/>
        </w:rPr>
        <w:t>规划</w:t>
      </w:r>
      <w:r>
        <w:rPr>
          <w:rFonts w:hint="eastAsia"/>
          <w:color w:val="auto"/>
          <w:highlight w:val="none"/>
          <w:lang w:val="en-US" w:eastAsia="zh-CN"/>
        </w:rPr>
        <w:t>区域级</w:t>
      </w:r>
      <w:r>
        <w:rPr>
          <w:rFonts w:hint="eastAsia"/>
          <w:color w:val="auto"/>
          <w:highlight w:val="none"/>
        </w:rPr>
        <w:t>医疗卫生用地</w:t>
      </w:r>
      <w:r>
        <w:rPr>
          <w:rFonts w:hint="eastAsia"/>
          <w:color w:val="auto"/>
          <w:highlight w:val="none"/>
          <w:lang w:val="en-US" w:eastAsia="zh-CN"/>
        </w:rPr>
        <w:t>9.12</w:t>
      </w:r>
      <w:r>
        <w:rPr>
          <w:rFonts w:hint="eastAsia"/>
          <w:color w:val="auto"/>
          <w:highlight w:val="none"/>
        </w:rPr>
        <w:t>公顷</w:t>
      </w:r>
      <w:r>
        <w:rPr>
          <w:rFonts w:hint="eastAsia"/>
          <w:color w:val="auto"/>
          <w:highlight w:val="none"/>
          <w:lang w:eastAsia="zh-CN"/>
        </w:rPr>
        <w:t>，</w:t>
      </w:r>
      <w:r>
        <w:rPr>
          <w:rFonts w:hint="eastAsia"/>
          <w:color w:val="auto"/>
          <w:highlight w:val="none"/>
        </w:rPr>
        <w:t>单元内</w:t>
      </w:r>
      <w:r>
        <w:rPr>
          <w:rFonts w:hint="eastAsia"/>
          <w:color w:val="auto"/>
          <w:highlight w:val="none"/>
          <w:lang w:val="en-US" w:eastAsia="zh-CN"/>
        </w:rPr>
        <w:t>新建1</w:t>
      </w:r>
      <w:r>
        <w:rPr>
          <w:rFonts w:hint="eastAsia"/>
          <w:color w:val="auto"/>
          <w:highlight w:val="none"/>
        </w:rPr>
        <w:t>处市级医疗卫生设施</w:t>
      </w:r>
      <w:r>
        <w:rPr>
          <w:rFonts w:hint="eastAsia"/>
          <w:color w:val="auto"/>
          <w:highlight w:val="none"/>
          <w:lang w:eastAsia="zh-CN"/>
        </w:rPr>
        <w:t>。</w:t>
      </w:r>
    </w:p>
    <w:p w14:paraId="6A1DE73B">
      <w:pPr>
        <w:spacing w:line="540" w:lineRule="exact"/>
        <w:ind w:firstLine="640" w:firstLineChars="200"/>
        <w:rPr>
          <w:rFonts w:hint="eastAsia" w:ascii="方正黑体_GBK" w:hAnsi="方正黑体_GBK" w:eastAsia="方正黑体_GBK" w:cs="方正黑体_GBK"/>
          <w:color w:val="auto"/>
          <w:highlight w:val="none"/>
          <w:lang w:val="en-US" w:eastAsia="zh-CN"/>
        </w:rPr>
      </w:pPr>
      <w:r>
        <w:rPr>
          <w:rFonts w:hint="eastAsia" w:ascii="方正黑体_GBK" w:hAnsi="方正黑体_GBK" w:eastAsia="方正黑体_GBK" w:cs="方正黑体_GBK"/>
          <w:color w:val="auto"/>
          <w:highlight w:val="none"/>
          <w:lang w:val="en-US" w:eastAsia="zh-CN"/>
        </w:rPr>
        <w:t>六、绿地与开敞空间规划</w:t>
      </w:r>
    </w:p>
    <w:p w14:paraId="2E757C91">
      <w:pPr>
        <w:spacing w:line="540" w:lineRule="exact"/>
        <w:ind w:firstLine="640" w:firstLineChars="200"/>
        <w:rPr>
          <w:rFonts w:hint="eastAsia"/>
          <w:color w:val="auto"/>
          <w:highlight w:val="none"/>
        </w:rPr>
      </w:pPr>
      <w:r>
        <w:rPr>
          <w:rFonts w:hint="eastAsia"/>
          <w:color w:val="auto"/>
          <w:highlight w:val="none"/>
        </w:rPr>
        <w:t>规划单元内绿地分为公园绿地、广场用地两种类型进行控制引导，均好布置各类公园绿地，打造具有特色的绿地景观。规划公园绿地0公顷、防护绿地0公顷。</w:t>
      </w:r>
    </w:p>
    <w:p w14:paraId="6B101C23">
      <w:pPr>
        <w:spacing w:line="540" w:lineRule="exact"/>
        <w:ind w:firstLine="640" w:firstLineChars="200"/>
        <w:rPr>
          <w:rFonts w:hint="eastAsia" w:ascii="方正黑体_GBK" w:hAnsi="方正黑体_GBK" w:eastAsia="方正黑体_GBK" w:cs="方正黑体_GBK"/>
          <w:color w:val="auto"/>
          <w:highlight w:val="none"/>
        </w:rPr>
      </w:pPr>
      <w:r>
        <w:rPr>
          <w:rFonts w:hint="eastAsia" w:ascii="方正黑体_GBK" w:hAnsi="方正黑体_GBK" w:eastAsia="方正黑体_GBK" w:cs="方正黑体_GBK"/>
          <w:color w:val="auto"/>
          <w:highlight w:val="none"/>
          <w:lang w:val="en-US" w:eastAsia="zh-CN"/>
        </w:rPr>
        <w:t>七</w:t>
      </w:r>
      <w:r>
        <w:rPr>
          <w:rFonts w:hint="eastAsia" w:ascii="方正黑体_GBK" w:hAnsi="方正黑体_GBK" w:eastAsia="方正黑体_GBK" w:cs="方正黑体_GBK"/>
          <w:color w:val="auto"/>
          <w:highlight w:val="none"/>
        </w:rPr>
        <w:t>、综合防灾设施规划</w:t>
      </w:r>
    </w:p>
    <w:p w14:paraId="27D9FD2F">
      <w:pPr>
        <w:spacing w:line="540" w:lineRule="exact"/>
        <w:ind w:firstLine="640" w:firstLineChars="200"/>
        <w:rPr>
          <w:color w:val="auto"/>
          <w:highlight w:val="none"/>
        </w:rPr>
      </w:pPr>
      <w:r>
        <w:rPr>
          <w:rFonts w:hint="eastAsia"/>
          <w:color w:val="auto"/>
          <w:highlight w:val="none"/>
        </w:rPr>
        <w:t>单元内设置一处一级消防站。</w:t>
      </w:r>
    </w:p>
    <w:p w14:paraId="03F8BF29">
      <w:pPr>
        <w:spacing w:line="540" w:lineRule="exact"/>
        <w:ind w:firstLine="640" w:firstLineChars="200"/>
        <w:rPr>
          <w:rFonts w:hint="eastAsia"/>
          <w:color w:val="auto"/>
          <w:highlight w:val="none"/>
        </w:rPr>
      </w:pP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altName w:val="微软雅黑"/>
    <w:panose1 w:val="03000509000000000000"/>
    <w:charset w:val="86"/>
    <w:family w:val="auto"/>
    <w:pitch w:val="default"/>
    <w:sig w:usb0="00000000" w:usb1="00000000" w:usb2="00000000" w:usb3="00000000" w:csb0="00040000" w:csb1="00000000"/>
  </w:font>
  <w:font w:name="方正小标宋简体">
    <w:altName w:val="微软雅黑"/>
    <w:panose1 w:val="00000000000000000000"/>
    <w:charset w:val="86"/>
    <w:family w:val="auto"/>
    <w:pitch w:val="default"/>
    <w:sig w:usb0="00000000" w:usb1="00000000" w:usb2="00000012" w:usb3="00000000" w:csb0="00040001" w:csb1="00000000"/>
  </w:font>
  <w:font w:name="方正黑体_GBK">
    <w:altName w:val="微软雅黑"/>
    <w:panose1 w:val="00000000000000000000"/>
    <w:charset w:val="86"/>
    <w:family w:val="auto"/>
    <w:pitch w:val="default"/>
    <w:sig w:usb0="00000000" w:usb1="00000000" w:usb2="00000000" w:usb3="00000000" w:csb0="00040000"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ExNmZmOGJjMGJkYTIxYzNiZjgyZGE2MjZlZmVjMjMifQ=="/>
  </w:docVars>
  <w:rsids>
    <w:rsidRoot w:val="3BCB683D"/>
    <w:rsid w:val="000122BB"/>
    <w:rsid w:val="000148A5"/>
    <w:rsid w:val="00105758"/>
    <w:rsid w:val="00172006"/>
    <w:rsid w:val="0017667B"/>
    <w:rsid w:val="002462F6"/>
    <w:rsid w:val="0026169C"/>
    <w:rsid w:val="0028751A"/>
    <w:rsid w:val="002F77A6"/>
    <w:rsid w:val="003B0CDB"/>
    <w:rsid w:val="00467A84"/>
    <w:rsid w:val="00492519"/>
    <w:rsid w:val="004B6FFE"/>
    <w:rsid w:val="004B7879"/>
    <w:rsid w:val="005C0602"/>
    <w:rsid w:val="005C32D7"/>
    <w:rsid w:val="005D7415"/>
    <w:rsid w:val="005F1FF2"/>
    <w:rsid w:val="00666BDA"/>
    <w:rsid w:val="006712AF"/>
    <w:rsid w:val="006C0534"/>
    <w:rsid w:val="006C4189"/>
    <w:rsid w:val="006C7C67"/>
    <w:rsid w:val="007D459F"/>
    <w:rsid w:val="00855632"/>
    <w:rsid w:val="00855D13"/>
    <w:rsid w:val="0085673D"/>
    <w:rsid w:val="008848B0"/>
    <w:rsid w:val="0088673A"/>
    <w:rsid w:val="008B49A6"/>
    <w:rsid w:val="008C7623"/>
    <w:rsid w:val="008E0734"/>
    <w:rsid w:val="00906C87"/>
    <w:rsid w:val="009F2DCA"/>
    <w:rsid w:val="009F706A"/>
    <w:rsid w:val="00A05034"/>
    <w:rsid w:val="00A964B2"/>
    <w:rsid w:val="00AB4F65"/>
    <w:rsid w:val="00AD1A79"/>
    <w:rsid w:val="00B23A39"/>
    <w:rsid w:val="00B32164"/>
    <w:rsid w:val="00B6311E"/>
    <w:rsid w:val="00BD2F37"/>
    <w:rsid w:val="00C408FE"/>
    <w:rsid w:val="00C75E1D"/>
    <w:rsid w:val="00C877E5"/>
    <w:rsid w:val="00CB1C2C"/>
    <w:rsid w:val="00D66996"/>
    <w:rsid w:val="00DF4106"/>
    <w:rsid w:val="00E04929"/>
    <w:rsid w:val="00E64260"/>
    <w:rsid w:val="00E84B1D"/>
    <w:rsid w:val="00EF5035"/>
    <w:rsid w:val="00F152BD"/>
    <w:rsid w:val="00FC7571"/>
    <w:rsid w:val="08216A96"/>
    <w:rsid w:val="0FFF6CFB"/>
    <w:rsid w:val="22BE35D7"/>
    <w:rsid w:val="24F72435"/>
    <w:rsid w:val="29AE2D28"/>
    <w:rsid w:val="3378B11C"/>
    <w:rsid w:val="372A130F"/>
    <w:rsid w:val="3BCB683D"/>
    <w:rsid w:val="3D7EB1D0"/>
    <w:rsid w:val="44161D31"/>
    <w:rsid w:val="4FD69422"/>
    <w:rsid w:val="5FDA4CAE"/>
    <w:rsid w:val="638FC954"/>
    <w:rsid w:val="65AF55F0"/>
    <w:rsid w:val="71AB5152"/>
    <w:rsid w:val="72811CFD"/>
    <w:rsid w:val="75CC31DD"/>
    <w:rsid w:val="767F6880"/>
    <w:rsid w:val="7B9F39CA"/>
    <w:rsid w:val="7BFF3463"/>
    <w:rsid w:val="7D6F2FD7"/>
    <w:rsid w:val="7DFF6ED2"/>
    <w:rsid w:val="7EF23894"/>
    <w:rsid w:val="7F6F7F3B"/>
    <w:rsid w:val="7FFFF612"/>
    <w:rsid w:val="8B7D6470"/>
    <w:rsid w:val="CF9B79CD"/>
    <w:rsid w:val="D4EC2D7C"/>
    <w:rsid w:val="E1F7F2E7"/>
    <w:rsid w:val="EBAF10FB"/>
    <w:rsid w:val="F7AB4F06"/>
    <w:rsid w:val="FBFDDC82"/>
    <w:rsid w:val="FD369A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方正仿宋_GBK" w:cs="Times New Roman"/>
      <w:kern w:val="2"/>
      <w:sz w:val="32"/>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rPr>
  </w:style>
  <w:style w:type="paragraph" w:customStyle="1" w:styleId="7">
    <w:name w:val="UserStyle_0"/>
    <w:basedOn w:val="1"/>
    <w:next w:val="1"/>
    <w:qFormat/>
    <w:uiPriority w:val="0"/>
    <w:pPr>
      <w:spacing w:beforeAutospacing="1" w:afterAutospacing="1"/>
      <w:jc w:val="left"/>
    </w:pPr>
    <w:rPr>
      <w:kern w:val="44"/>
      <w:szCs w:val="48"/>
    </w:rPr>
  </w:style>
  <w:style w:type="character" w:customStyle="1" w:styleId="8">
    <w:name w:val="页眉 字符"/>
    <w:basedOn w:val="6"/>
    <w:link w:val="3"/>
    <w:qFormat/>
    <w:uiPriority w:val="0"/>
    <w:rPr>
      <w:rFonts w:ascii="Times New Roman" w:hAnsi="Times New Roman" w:eastAsia="方正仿宋_GBK"/>
      <w:kern w:val="2"/>
      <w:sz w:val="18"/>
      <w:szCs w:val="18"/>
    </w:rPr>
  </w:style>
  <w:style w:type="character" w:customStyle="1" w:styleId="9">
    <w:name w:val="页脚 字符"/>
    <w:basedOn w:val="6"/>
    <w:link w:val="2"/>
    <w:qFormat/>
    <w:uiPriority w:val="0"/>
    <w:rPr>
      <w:rFonts w:ascii="Times New Roman" w:hAnsi="Times New Roman" w:eastAsia="方正仿宋_GBK"/>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527</Words>
  <Characters>594</Characters>
  <Lines>13</Lines>
  <Paragraphs>3</Paragraphs>
  <TotalTime>0</TotalTime>
  <ScaleCrop>false</ScaleCrop>
  <LinksUpToDate>false</LinksUpToDate>
  <CharactersWithSpaces>596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2024-07-13T06:46:00Z</dcterms:created>
  <dc:creator>qjzrzy</dc:creator>
  <cp:lastModifiedBy>peach</cp:lastModifiedBy>
  <dcterms:modified xsi:type="dcterms:W3CDTF">2024-10-18T07:02:40Z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935DB69C6B3D4E528A18E7DA889C1DAC_13</vt:lpwstr>
  </property>
</Properties>
</file>