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64F2CE">
      <w:pPr>
        <w:spacing w:line="540" w:lineRule="exact"/>
        <w:jc w:val="center"/>
        <w:rPr>
          <w:rFonts w:eastAsia="方正小标宋简体"/>
          <w:color w:val="auto"/>
          <w:sz w:val="44"/>
          <w:szCs w:val="44"/>
          <w:highlight w:val="none"/>
        </w:rPr>
      </w:pPr>
      <w:r>
        <w:rPr>
          <w:rFonts w:hint="eastAsia" w:eastAsia="方正小标宋简体"/>
          <w:color w:val="auto"/>
          <w:sz w:val="44"/>
          <w:szCs w:val="44"/>
          <w:highlight w:val="none"/>
        </w:rPr>
        <w:t>临沧市</w:t>
      </w:r>
      <w:r>
        <w:rPr>
          <w:rFonts w:eastAsia="方正小标宋简体"/>
          <w:color w:val="auto"/>
          <w:sz w:val="44"/>
          <w:szCs w:val="44"/>
          <w:highlight w:val="none"/>
        </w:rPr>
        <w:t>中心城区</w:t>
      </w:r>
      <w:r>
        <w:rPr>
          <w:rFonts w:hint="eastAsia" w:eastAsia="方正小标宋简体"/>
          <w:color w:val="auto"/>
          <w:sz w:val="44"/>
          <w:szCs w:val="44"/>
          <w:highlight w:val="none"/>
          <w:lang w:val="en-US" w:eastAsia="zh-CN"/>
        </w:rPr>
        <w:t>博尚</w:t>
      </w:r>
      <w:r>
        <w:rPr>
          <w:rFonts w:eastAsia="方正小标宋简体"/>
          <w:color w:val="auto"/>
          <w:sz w:val="44"/>
          <w:szCs w:val="44"/>
          <w:highlight w:val="none"/>
        </w:rPr>
        <w:t>单元</w:t>
      </w:r>
    </w:p>
    <w:p w14:paraId="3FC3AF44">
      <w:pPr>
        <w:spacing w:line="540" w:lineRule="exact"/>
        <w:jc w:val="center"/>
        <w:rPr>
          <w:color w:val="auto"/>
          <w:highlight w:val="none"/>
        </w:rPr>
      </w:pPr>
      <w:r>
        <w:rPr>
          <w:rFonts w:eastAsia="方正小标宋简体"/>
          <w:color w:val="auto"/>
          <w:sz w:val="44"/>
          <w:szCs w:val="44"/>
          <w:highlight w:val="none"/>
        </w:rPr>
        <w:t>详细规划草案公示</w:t>
      </w:r>
    </w:p>
    <w:p w14:paraId="51278E42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一、规划范围</w:t>
      </w:r>
    </w:p>
    <w:p w14:paraId="7589498C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本单元位于</w:t>
      </w:r>
      <w:r>
        <w:rPr>
          <w:rFonts w:hint="eastAsia"/>
          <w:color w:val="auto"/>
          <w:highlight w:val="none"/>
          <w:lang w:val="en-US" w:eastAsia="zh-CN"/>
        </w:rPr>
        <w:t>临沧市临翔区</w:t>
      </w:r>
      <w:r>
        <w:rPr>
          <w:rFonts w:hint="eastAsia"/>
          <w:color w:val="auto"/>
          <w:highlight w:val="none"/>
        </w:rPr>
        <w:t>，西至</w:t>
      </w:r>
      <w:r>
        <w:rPr>
          <w:rFonts w:hint="eastAsia"/>
          <w:color w:val="auto"/>
          <w:highlight w:val="none"/>
          <w:lang w:val="en-US" w:eastAsia="zh-CN"/>
        </w:rPr>
        <w:t>中心城区西侧边界</w:t>
      </w:r>
      <w:r>
        <w:rPr>
          <w:rFonts w:hint="eastAsia"/>
          <w:color w:val="auto"/>
          <w:highlight w:val="none"/>
        </w:rPr>
        <w:t>，南至</w:t>
      </w:r>
      <w:r>
        <w:rPr>
          <w:rFonts w:hint="eastAsia"/>
          <w:color w:val="auto"/>
          <w:highlight w:val="none"/>
          <w:lang w:val="en-US" w:eastAsia="zh-CN"/>
        </w:rPr>
        <w:t>中心城区南侧边界</w:t>
      </w:r>
      <w:r>
        <w:rPr>
          <w:rFonts w:hint="eastAsia"/>
          <w:color w:val="auto"/>
          <w:highlight w:val="none"/>
        </w:rPr>
        <w:t>，东至</w:t>
      </w:r>
      <w:r>
        <w:rPr>
          <w:rFonts w:hint="eastAsia"/>
          <w:color w:val="auto"/>
          <w:highlight w:val="none"/>
          <w:lang w:val="en-US" w:eastAsia="zh-CN"/>
        </w:rPr>
        <w:t>中心城区东侧边界</w:t>
      </w:r>
      <w:r>
        <w:rPr>
          <w:rFonts w:hint="eastAsia"/>
          <w:color w:val="auto"/>
          <w:highlight w:val="none"/>
        </w:rPr>
        <w:t>，北至</w:t>
      </w:r>
      <w:r>
        <w:rPr>
          <w:rFonts w:hint="eastAsia"/>
          <w:color w:val="auto"/>
          <w:highlight w:val="none"/>
          <w:lang w:val="en-US" w:eastAsia="zh-CN"/>
        </w:rPr>
        <w:t>214国道</w:t>
      </w:r>
      <w:r>
        <w:rPr>
          <w:rFonts w:hint="eastAsia"/>
          <w:color w:val="auto"/>
          <w:highlight w:val="none"/>
        </w:rPr>
        <w:t>，单元编码为530902102010002。</w:t>
      </w:r>
    </w:p>
    <w:p w14:paraId="2ED77C51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二、目标定位与功能定位</w:t>
      </w:r>
    </w:p>
    <w:p w14:paraId="1731B759">
      <w:pPr>
        <w:spacing w:line="540" w:lineRule="exact"/>
        <w:ind w:firstLine="640" w:firstLineChars="200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</w:rPr>
        <w:t>本单元目标定位为</w:t>
      </w:r>
      <w:r>
        <w:rPr>
          <w:rFonts w:hint="eastAsia"/>
          <w:color w:val="auto"/>
          <w:highlight w:val="none"/>
          <w:lang w:eastAsia="zh-CN"/>
        </w:rPr>
        <w:t>：</w:t>
      </w:r>
      <w:r>
        <w:rPr>
          <w:rFonts w:hint="eastAsia"/>
          <w:color w:val="auto"/>
          <w:highlight w:val="none"/>
          <w:lang w:val="en-US" w:eastAsia="zh-CN"/>
        </w:rPr>
        <w:t>临沧市中心城区南部的产业制造片区和品质生活片区。本单元以博尚产业园产业功能和集镇生活功能的综合功能为主。</w:t>
      </w:r>
    </w:p>
    <w:p w14:paraId="08C61AC7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三、规模控制与用地结构</w:t>
      </w:r>
    </w:p>
    <w:p w14:paraId="38B9FDE4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本单元常住人口1</w:t>
      </w:r>
      <w:r>
        <w:rPr>
          <w:color w:val="auto"/>
          <w:highlight w:val="none"/>
        </w:rPr>
        <w:t>.0</w:t>
      </w:r>
      <w:r>
        <w:rPr>
          <w:rFonts w:hint="eastAsia"/>
          <w:color w:val="auto"/>
          <w:highlight w:val="none"/>
        </w:rPr>
        <w:t>万人，单元面积</w:t>
      </w:r>
      <w:r>
        <w:rPr>
          <w:color w:val="auto"/>
          <w:highlight w:val="none"/>
        </w:rPr>
        <w:t>658</w:t>
      </w:r>
      <w:r>
        <w:rPr>
          <w:rFonts w:hint="eastAsia"/>
          <w:color w:val="auto"/>
          <w:highlight w:val="none"/>
        </w:rPr>
        <w:t>.</w:t>
      </w:r>
      <w:r>
        <w:rPr>
          <w:color w:val="auto"/>
          <w:highlight w:val="none"/>
        </w:rPr>
        <w:t>4</w:t>
      </w:r>
      <w:r>
        <w:rPr>
          <w:rFonts w:hint="eastAsia"/>
          <w:color w:val="auto"/>
          <w:highlight w:val="none"/>
        </w:rPr>
        <w:t>7公顷。城镇开发边界内建设用地规模187.07公顷。</w:t>
      </w:r>
      <w:r>
        <w:rPr>
          <w:color w:val="auto"/>
          <w:highlight w:val="none"/>
        </w:rPr>
        <w:t>其中</w:t>
      </w:r>
      <w:r>
        <w:rPr>
          <w:rFonts w:hint="eastAsia"/>
          <w:color w:val="auto"/>
          <w:highlight w:val="none"/>
        </w:rPr>
        <w:t>，</w:t>
      </w:r>
      <w:r>
        <w:rPr>
          <w:color w:val="auto"/>
          <w:highlight w:val="none"/>
        </w:rPr>
        <w:t>居住用地</w:t>
      </w:r>
      <w:r>
        <w:rPr>
          <w:rFonts w:hint="eastAsia"/>
          <w:color w:val="auto"/>
          <w:highlight w:val="none"/>
        </w:rPr>
        <w:t>27.72</w:t>
      </w:r>
      <w:r>
        <w:rPr>
          <w:color w:val="auto"/>
          <w:highlight w:val="none"/>
        </w:rPr>
        <w:t>公顷</w:t>
      </w:r>
      <w:r>
        <w:rPr>
          <w:rFonts w:hint="eastAsia"/>
          <w:color w:val="auto"/>
          <w:highlight w:val="none"/>
        </w:rPr>
        <w:t>，</w:t>
      </w:r>
      <w:r>
        <w:rPr>
          <w:color w:val="auto"/>
          <w:highlight w:val="none"/>
        </w:rPr>
        <w:t>公共管理与公共服务用地</w:t>
      </w:r>
      <w:r>
        <w:rPr>
          <w:rFonts w:hint="eastAsia"/>
          <w:color w:val="auto"/>
          <w:highlight w:val="none"/>
        </w:rPr>
        <w:t>21.03公顷</w:t>
      </w:r>
      <w:r>
        <w:rPr>
          <w:color w:val="auto"/>
          <w:highlight w:val="none"/>
        </w:rPr>
        <w:t>，商业服务业用地</w:t>
      </w:r>
      <w:r>
        <w:rPr>
          <w:rFonts w:hint="eastAsia"/>
          <w:color w:val="auto"/>
          <w:highlight w:val="none"/>
        </w:rPr>
        <w:t>34.19</w:t>
      </w:r>
      <w:r>
        <w:rPr>
          <w:color w:val="auto"/>
          <w:highlight w:val="none"/>
        </w:rPr>
        <w:t>公顷，</w:t>
      </w:r>
      <w:r>
        <w:rPr>
          <w:rFonts w:hint="eastAsia"/>
          <w:color w:val="auto"/>
          <w:highlight w:val="none"/>
        </w:rPr>
        <w:t>工矿用地81.76公顷，</w:t>
      </w:r>
      <w:r>
        <w:rPr>
          <w:color w:val="auto"/>
          <w:highlight w:val="none"/>
        </w:rPr>
        <w:t>交通运输用地</w:t>
      </w:r>
      <w:r>
        <w:rPr>
          <w:rFonts w:hint="eastAsia"/>
          <w:color w:val="auto"/>
          <w:highlight w:val="none"/>
        </w:rPr>
        <w:t>4.48</w:t>
      </w:r>
      <w:r>
        <w:rPr>
          <w:color w:val="auto"/>
          <w:highlight w:val="none"/>
        </w:rPr>
        <w:t>公顷，</w:t>
      </w:r>
      <w:r>
        <w:rPr>
          <w:rFonts w:hint="eastAsia"/>
          <w:color w:val="auto"/>
          <w:highlight w:val="none"/>
        </w:rPr>
        <w:t>公用设施用地3.48公顷，</w:t>
      </w:r>
      <w:r>
        <w:rPr>
          <w:color w:val="auto"/>
          <w:highlight w:val="none"/>
        </w:rPr>
        <w:t>绿地与开敞空间用地</w:t>
      </w:r>
      <w:r>
        <w:rPr>
          <w:rFonts w:hint="eastAsia"/>
          <w:color w:val="auto"/>
          <w:highlight w:val="none"/>
        </w:rPr>
        <w:t>13.46</w:t>
      </w:r>
      <w:r>
        <w:rPr>
          <w:color w:val="auto"/>
          <w:highlight w:val="none"/>
        </w:rPr>
        <w:t>公顷</w:t>
      </w:r>
      <w:r>
        <w:rPr>
          <w:rFonts w:hint="eastAsia"/>
          <w:color w:val="auto"/>
          <w:highlight w:val="none"/>
        </w:rPr>
        <w:t>，特殊用地0.94公顷</w:t>
      </w:r>
      <w:r>
        <w:rPr>
          <w:color w:val="auto"/>
          <w:highlight w:val="none"/>
        </w:rPr>
        <w:t>。</w:t>
      </w:r>
    </w:p>
    <w:p w14:paraId="5D9444FD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、底线管控</w:t>
      </w:r>
    </w:p>
    <w:p w14:paraId="5594703F">
      <w:pPr>
        <w:spacing w:line="540" w:lineRule="exact"/>
        <w:ind w:firstLine="640" w:firstLineChars="20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本单元涉及城镇开发边界187.07公顷，永久基本农田87.5公顷，不涉及生态保护红线。</w:t>
      </w:r>
    </w:p>
    <w:p w14:paraId="361A9985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五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、公共服务设施规划</w:t>
      </w:r>
    </w:p>
    <w:p w14:paraId="01287A47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（一）城镇社区服务设施</w:t>
      </w:r>
    </w:p>
    <w:p w14:paraId="184234D1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根据“15分钟—5-10分钟”社区生活圈的布局和配置要求，本单元共划分为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个1</w:t>
      </w:r>
      <w:r>
        <w:rPr>
          <w:color w:val="auto"/>
          <w:highlight w:val="none"/>
        </w:rPr>
        <w:t>5</w:t>
      </w:r>
      <w:r>
        <w:rPr>
          <w:rFonts w:hint="eastAsia"/>
          <w:color w:val="auto"/>
          <w:highlight w:val="none"/>
        </w:rPr>
        <w:t>分钟社区生活圈，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个5-10分钟社区生活圈</w:t>
      </w:r>
      <w:r>
        <w:rPr>
          <w:rFonts w:hint="eastAsia"/>
          <w:color w:val="auto"/>
          <w:highlight w:val="none"/>
          <w:lang w:val="en-US" w:eastAsia="zh-CN"/>
        </w:rPr>
        <w:t>。设置15分钟社区行政管理设施1处，为社区综合服务中心，用地面积0.21公顷；</w:t>
      </w:r>
      <w:r>
        <w:rPr>
          <w:rFonts w:hint="eastAsia"/>
          <w:color w:val="auto"/>
          <w:highlight w:val="none"/>
        </w:rPr>
        <w:t>规划非独立占地城镇社区服务设施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处，分别配置社区级文化、体育、医疗、养老设施。</w:t>
      </w:r>
    </w:p>
    <w:p w14:paraId="35805284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（二）教育设施</w:t>
      </w:r>
    </w:p>
    <w:p w14:paraId="16EA6B92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单元内规划形成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所</w:t>
      </w:r>
      <w:r>
        <w:rPr>
          <w:rFonts w:hint="eastAsia"/>
          <w:color w:val="auto"/>
          <w:highlight w:val="none"/>
          <w:lang w:val="en-US" w:eastAsia="zh-CN"/>
        </w:rPr>
        <w:t>完</w:t>
      </w:r>
      <w:r>
        <w:rPr>
          <w:rFonts w:hint="eastAsia"/>
          <w:color w:val="auto"/>
          <w:highlight w:val="none"/>
        </w:rPr>
        <w:t>中、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所小学、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</w:rPr>
        <w:t>处配建幼儿园，规划教育设施用地面积</w:t>
      </w:r>
      <w:r>
        <w:rPr>
          <w:rFonts w:hint="eastAsia"/>
          <w:color w:val="auto"/>
          <w:highlight w:val="none"/>
          <w:lang w:val="en-US" w:eastAsia="zh-CN"/>
        </w:rPr>
        <w:t>9.78</w:t>
      </w:r>
      <w:r>
        <w:rPr>
          <w:rFonts w:hint="eastAsia"/>
          <w:color w:val="auto"/>
          <w:highlight w:val="none"/>
        </w:rPr>
        <w:t>公项。其中，</w:t>
      </w:r>
      <w:r>
        <w:rPr>
          <w:rFonts w:hint="eastAsia"/>
          <w:color w:val="auto"/>
          <w:highlight w:val="none"/>
          <w:lang w:val="en-US" w:eastAsia="zh-CN"/>
        </w:rPr>
        <w:t>保留1</w:t>
      </w:r>
      <w:r>
        <w:rPr>
          <w:rFonts w:hint="eastAsia"/>
          <w:color w:val="auto"/>
          <w:highlight w:val="none"/>
        </w:rPr>
        <w:t>处配建幼儿园</w:t>
      </w:r>
      <w:r>
        <w:rPr>
          <w:rFonts w:hint="eastAsia"/>
          <w:color w:val="auto"/>
          <w:highlight w:val="none"/>
          <w:lang w:eastAsia="zh-CN"/>
        </w:rPr>
        <w:t>；</w:t>
      </w:r>
      <w:r>
        <w:rPr>
          <w:rFonts w:hint="eastAsia"/>
          <w:color w:val="auto"/>
          <w:highlight w:val="none"/>
          <w:lang w:val="en-US" w:eastAsia="zh-CN"/>
        </w:rPr>
        <w:t>改扩建</w:t>
      </w:r>
      <w:r>
        <w:rPr>
          <w:color w:val="auto"/>
          <w:highlight w:val="none"/>
        </w:rPr>
        <w:t>1</w:t>
      </w:r>
      <w:r>
        <w:rPr>
          <w:rFonts w:hint="eastAsia"/>
          <w:color w:val="auto"/>
          <w:highlight w:val="none"/>
        </w:rPr>
        <w:t>所</w:t>
      </w:r>
      <w:r>
        <w:rPr>
          <w:rFonts w:hint="eastAsia"/>
          <w:color w:val="auto"/>
          <w:highlight w:val="none"/>
          <w:lang w:val="en-US" w:eastAsia="zh-CN"/>
        </w:rPr>
        <w:t>42</w:t>
      </w:r>
      <w:r>
        <w:rPr>
          <w:rFonts w:hint="eastAsia"/>
          <w:color w:val="auto"/>
          <w:highlight w:val="none"/>
        </w:rPr>
        <w:t>班</w:t>
      </w:r>
      <w:r>
        <w:rPr>
          <w:rFonts w:hint="eastAsia"/>
          <w:color w:val="auto"/>
          <w:highlight w:val="none"/>
          <w:lang w:val="en-US" w:eastAsia="zh-CN"/>
        </w:rPr>
        <w:t>完</w:t>
      </w:r>
      <w:r>
        <w:rPr>
          <w:rFonts w:hint="eastAsia"/>
          <w:color w:val="auto"/>
          <w:highlight w:val="none"/>
        </w:rPr>
        <w:t>中、1所</w:t>
      </w:r>
      <w:r>
        <w:rPr>
          <w:rFonts w:hint="eastAsia"/>
          <w:color w:val="auto"/>
          <w:highlight w:val="none"/>
          <w:lang w:val="en-US" w:eastAsia="zh-CN"/>
        </w:rPr>
        <w:t>24</w:t>
      </w:r>
      <w:r>
        <w:rPr>
          <w:rFonts w:hint="eastAsia"/>
          <w:color w:val="auto"/>
          <w:highlight w:val="none"/>
        </w:rPr>
        <w:t>班小学；规划新增</w:t>
      </w:r>
      <w:r>
        <w:rPr>
          <w:color w:val="auto"/>
          <w:highlight w:val="none"/>
        </w:rPr>
        <w:t>1</w:t>
      </w:r>
      <w:r>
        <w:rPr>
          <w:rFonts w:hint="eastAsia"/>
          <w:color w:val="auto"/>
          <w:highlight w:val="none"/>
        </w:rPr>
        <w:t>处配建幼儿园。幼儿园、小学、初中班级数余量可为周边单元服务。</w:t>
      </w:r>
    </w:p>
    <w:p w14:paraId="3A2D7CCE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（三）医疗卫生设施</w:t>
      </w:r>
    </w:p>
    <w:p w14:paraId="7E19D096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按照“15分钟—5-10分钟”社区生活圈布局社区医疗卫生设施，设置15分钟医疗卫生设施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处，为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卫生服务中心，</w:t>
      </w:r>
      <w:r>
        <w:rPr>
          <w:rFonts w:hint="eastAsia"/>
          <w:color w:val="auto"/>
          <w:highlight w:val="none"/>
          <w:lang w:val="en-US" w:eastAsia="zh-CN"/>
        </w:rPr>
        <w:t>用地面积2.06公顷</w:t>
      </w:r>
      <w:r>
        <w:rPr>
          <w:rFonts w:hint="eastAsia"/>
          <w:color w:val="auto"/>
          <w:highlight w:val="none"/>
        </w:rPr>
        <w:t>。结合社区服务站，设置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处社区卫生服务站。</w:t>
      </w:r>
    </w:p>
    <w:p w14:paraId="3F63FDF5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（四）文化设施</w:t>
      </w:r>
    </w:p>
    <w:p w14:paraId="7A127665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按照“15分钟—5-10分钟”社区生活圈布局社区文化设施，设置15分钟文化设施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处，为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文化活动中心，</w:t>
      </w:r>
      <w:r>
        <w:rPr>
          <w:rFonts w:hint="eastAsia"/>
          <w:color w:val="auto"/>
          <w:highlight w:val="none"/>
          <w:lang w:val="en-US" w:eastAsia="zh-CN"/>
        </w:rPr>
        <w:t>用地面积0.25公顷</w:t>
      </w:r>
      <w:r>
        <w:rPr>
          <w:rFonts w:hint="eastAsia"/>
          <w:color w:val="auto"/>
          <w:highlight w:val="none"/>
        </w:rPr>
        <w:t>。结合社区服务站，设置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处文化服务站。</w:t>
      </w:r>
    </w:p>
    <w:p w14:paraId="1D0BF37E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（五）体育设施</w:t>
      </w:r>
    </w:p>
    <w:p w14:paraId="6E88FD11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规划设置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多功能运动场地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处，独立占地，用地面积</w:t>
      </w:r>
      <w:r>
        <w:rPr>
          <w:rFonts w:hint="eastAsia"/>
          <w:color w:val="auto"/>
          <w:highlight w:val="none"/>
          <w:lang w:val="en-US" w:eastAsia="zh-CN"/>
        </w:rPr>
        <w:t>0.32</w:t>
      </w:r>
      <w:r>
        <w:rPr>
          <w:rFonts w:hint="eastAsia"/>
          <w:color w:val="auto"/>
          <w:highlight w:val="none"/>
        </w:rPr>
        <w:t>公顷</w:t>
      </w:r>
      <w:r>
        <w:rPr>
          <w:rFonts w:hint="eastAsia"/>
          <w:color w:val="auto"/>
          <w:highlight w:val="none"/>
          <w:lang w:eastAsia="zh-CN"/>
        </w:rPr>
        <w:t>。</w:t>
      </w:r>
      <w:r>
        <w:rPr>
          <w:rFonts w:hint="eastAsia"/>
          <w:color w:val="auto"/>
          <w:highlight w:val="none"/>
        </w:rPr>
        <w:t>结合绿地设置3处</w:t>
      </w:r>
      <w:r>
        <w:rPr>
          <w:rFonts w:hint="eastAsia"/>
          <w:color w:val="auto"/>
          <w:highlight w:val="none"/>
          <w:lang w:val="en-US" w:eastAsia="zh-CN"/>
        </w:rPr>
        <w:t>中</w:t>
      </w:r>
      <w:r>
        <w:rPr>
          <w:rFonts w:hint="eastAsia"/>
          <w:color w:val="auto"/>
          <w:highlight w:val="none"/>
        </w:rPr>
        <w:t>小型多功能运动场地。</w:t>
      </w:r>
    </w:p>
    <w:p w14:paraId="18615C48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  <w:lang w:val="en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  <w:lang w:val="en"/>
        </w:rPr>
        <w:t>（六）社会福利设施</w:t>
      </w:r>
    </w:p>
    <w:p w14:paraId="6E78F5C2">
      <w:pPr>
        <w:spacing w:line="540" w:lineRule="exact"/>
        <w:ind w:firstLine="64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按照“15分钟—5-10分钟”社区生活圈布局社会福利设施，设置15分钟社会福利设施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处，为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老年人服务中心，</w:t>
      </w:r>
      <w:r>
        <w:rPr>
          <w:rFonts w:hint="eastAsia"/>
          <w:color w:val="auto"/>
          <w:highlight w:val="none"/>
          <w:lang w:val="en-US" w:eastAsia="zh-CN"/>
        </w:rPr>
        <w:t>用地面积0.51公顷</w:t>
      </w:r>
      <w:r>
        <w:rPr>
          <w:rFonts w:hint="eastAsia"/>
          <w:color w:val="auto"/>
          <w:highlight w:val="none"/>
        </w:rPr>
        <w:t>。结合社区服务站，设置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处老年人日间照料中心。</w:t>
      </w:r>
    </w:p>
    <w:p w14:paraId="6A1DE73B">
      <w:pPr>
        <w:spacing w:line="540" w:lineRule="exact"/>
        <w:ind w:firstLine="64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六、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绿地与开敞空间规划</w:t>
      </w:r>
    </w:p>
    <w:p w14:paraId="1E37213A">
      <w:pPr>
        <w:spacing w:line="540" w:lineRule="exact"/>
        <w:ind w:firstLine="640" w:firstLineChars="20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单元内绿地分为公园绿地、广场用地两种类型进行控制引导，均好布置各类公园绿地，打造具有特色的绿地景观。规划公园绿地11.98公顷、广场用地1.11公顷。规划社区公园2处，为城市居民提供便捷舒适的公共活动空间。</w:t>
      </w:r>
    </w:p>
    <w:p w14:paraId="6DDE5A91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七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、综合交通规划</w:t>
      </w:r>
    </w:p>
    <w:p w14:paraId="43C1EA69">
      <w:pPr>
        <w:spacing w:line="540" w:lineRule="exact"/>
        <w:ind w:firstLine="640" w:firstLineChars="200"/>
        <w:rPr>
          <w:rFonts w:hint="eastAsia"/>
          <w:color w:val="auto"/>
          <w:highlight w:val="none"/>
        </w:rPr>
      </w:pPr>
      <w:r>
        <w:rPr>
          <w:color w:val="auto"/>
          <w:highlight w:val="none"/>
        </w:rPr>
        <w:t>单元内道路系统由主干路、次干路和支路</w:t>
      </w:r>
      <w:r>
        <w:rPr>
          <w:rFonts w:hint="eastAsia"/>
          <w:color w:val="auto"/>
          <w:highlight w:val="none"/>
        </w:rPr>
        <w:t>三</w:t>
      </w:r>
      <w:r>
        <w:rPr>
          <w:color w:val="auto"/>
          <w:highlight w:val="none"/>
        </w:rPr>
        <w:t>个等级道路构成，</w:t>
      </w:r>
      <w:r>
        <w:rPr>
          <w:rFonts w:hint="eastAsia"/>
          <w:color w:val="auto"/>
          <w:highlight w:val="none"/>
        </w:rPr>
        <w:t>形成“三横三纵”的主次干路网体系</w:t>
      </w:r>
      <w:r>
        <w:rPr>
          <w:color w:val="auto"/>
          <w:highlight w:val="none"/>
        </w:rPr>
        <w:t>。</w:t>
      </w:r>
      <w:r>
        <w:rPr>
          <w:rFonts w:hint="eastAsia"/>
          <w:color w:val="auto"/>
          <w:highlight w:val="none"/>
        </w:rPr>
        <w:t>“三横”：东二环线，红线宽度25米；博那线，红线宽度24米；西景线，红线宽度30米。“三纵”：西澜线，红线宽度</w:t>
      </w:r>
      <w:r>
        <w:rPr>
          <w:color w:val="auto"/>
          <w:highlight w:val="none"/>
        </w:rPr>
        <w:t>4</w:t>
      </w:r>
      <w:r>
        <w:rPr>
          <w:rFonts w:hint="eastAsia"/>
          <w:color w:val="auto"/>
          <w:highlight w:val="none"/>
        </w:rPr>
        <w:t>5米；博勐线，红线宽度20米；西景线，红线宽度30米。</w:t>
      </w:r>
    </w:p>
    <w:p w14:paraId="78460FAF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八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、市政公用设施规划</w:t>
      </w:r>
    </w:p>
    <w:p w14:paraId="668A29DB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单元内规划保留现状变配电设施1处： 35kV泰衡变，设施用地0.50公顷。单元内规划保留现状通信设施2处：通信用地和邮政支局用地，设施用地0.72公顷。</w:t>
      </w:r>
    </w:p>
    <w:p w14:paraId="689382E8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单元内共设置环卫设施2处。</w:t>
      </w:r>
      <w:bookmarkStart w:id="0" w:name="_GoBack"/>
      <w:bookmarkEnd w:id="0"/>
    </w:p>
    <w:p w14:paraId="6B101C23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九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、综合防灾设施规划</w:t>
      </w:r>
    </w:p>
    <w:p w14:paraId="7B9B27BC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单元内设置一处一级消防站，用地规模0.48公顷。结合具备一定基础设施条件的公共建筑及公共场地设置3处应急避难场所。</w:t>
      </w:r>
    </w:p>
    <w:p w14:paraId="1C663234">
      <w:pPr>
        <w:spacing w:line="540" w:lineRule="exact"/>
        <w:ind w:firstLine="640" w:firstLineChars="200"/>
        <w:rPr>
          <w:rFonts w:hint="eastAsia"/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ExNmZmOGJjMGJkYTIxYzNiZjgyZGE2MjZlZmVjMjMifQ=="/>
  </w:docVars>
  <w:rsids>
    <w:rsidRoot w:val="3BCB683D"/>
    <w:rsid w:val="000122BB"/>
    <w:rsid w:val="000148A5"/>
    <w:rsid w:val="00105758"/>
    <w:rsid w:val="00172006"/>
    <w:rsid w:val="0017667B"/>
    <w:rsid w:val="002462F6"/>
    <w:rsid w:val="0026169C"/>
    <w:rsid w:val="0028751A"/>
    <w:rsid w:val="002F77A6"/>
    <w:rsid w:val="003B0CDB"/>
    <w:rsid w:val="00467A84"/>
    <w:rsid w:val="00492519"/>
    <w:rsid w:val="004B6FFE"/>
    <w:rsid w:val="004B7879"/>
    <w:rsid w:val="005C0602"/>
    <w:rsid w:val="005C32D7"/>
    <w:rsid w:val="005D7415"/>
    <w:rsid w:val="005F1FF2"/>
    <w:rsid w:val="00666BDA"/>
    <w:rsid w:val="006712AF"/>
    <w:rsid w:val="006C0534"/>
    <w:rsid w:val="006C4189"/>
    <w:rsid w:val="006C7C67"/>
    <w:rsid w:val="00855632"/>
    <w:rsid w:val="00855D13"/>
    <w:rsid w:val="0085673D"/>
    <w:rsid w:val="008848B0"/>
    <w:rsid w:val="0088673A"/>
    <w:rsid w:val="008B49A6"/>
    <w:rsid w:val="008C7623"/>
    <w:rsid w:val="008E0734"/>
    <w:rsid w:val="00906C87"/>
    <w:rsid w:val="009F2DCA"/>
    <w:rsid w:val="009F706A"/>
    <w:rsid w:val="00A05034"/>
    <w:rsid w:val="00A964B2"/>
    <w:rsid w:val="00AB4F65"/>
    <w:rsid w:val="00AD1A79"/>
    <w:rsid w:val="00B23A39"/>
    <w:rsid w:val="00B32164"/>
    <w:rsid w:val="00B6311E"/>
    <w:rsid w:val="00BD2F37"/>
    <w:rsid w:val="00C408FE"/>
    <w:rsid w:val="00C75E1D"/>
    <w:rsid w:val="00C877E5"/>
    <w:rsid w:val="00CB1C2C"/>
    <w:rsid w:val="00D66996"/>
    <w:rsid w:val="00DF4106"/>
    <w:rsid w:val="00E04929"/>
    <w:rsid w:val="00E64260"/>
    <w:rsid w:val="00E84B1D"/>
    <w:rsid w:val="00EF5035"/>
    <w:rsid w:val="00F152BD"/>
    <w:rsid w:val="00FC7571"/>
    <w:rsid w:val="08E64706"/>
    <w:rsid w:val="21743ACA"/>
    <w:rsid w:val="24F72435"/>
    <w:rsid w:val="28E255E5"/>
    <w:rsid w:val="2A2360B3"/>
    <w:rsid w:val="2E8E6B3F"/>
    <w:rsid w:val="3378B11C"/>
    <w:rsid w:val="3BCB683D"/>
    <w:rsid w:val="3D7EB1D0"/>
    <w:rsid w:val="462D71BE"/>
    <w:rsid w:val="4FD69422"/>
    <w:rsid w:val="55D55D03"/>
    <w:rsid w:val="58132182"/>
    <w:rsid w:val="5B386B34"/>
    <w:rsid w:val="5FDA4CAE"/>
    <w:rsid w:val="638FC954"/>
    <w:rsid w:val="65AF55F0"/>
    <w:rsid w:val="75CC31DD"/>
    <w:rsid w:val="767F6880"/>
    <w:rsid w:val="788C6824"/>
    <w:rsid w:val="7A16385A"/>
    <w:rsid w:val="7B9F39CA"/>
    <w:rsid w:val="7BFF3463"/>
    <w:rsid w:val="7D6F2FD7"/>
    <w:rsid w:val="7D724562"/>
    <w:rsid w:val="7DFF6ED2"/>
    <w:rsid w:val="7F6F7F3B"/>
    <w:rsid w:val="7FFFF612"/>
    <w:rsid w:val="8B7D6470"/>
    <w:rsid w:val="CF9B79CD"/>
    <w:rsid w:val="D4EC2D7C"/>
    <w:rsid w:val="E1F7F2E7"/>
    <w:rsid w:val="EBAF10FB"/>
    <w:rsid w:val="F7AB4F06"/>
    <w:rsid w:val="FBFDDC82"/>
    <w:rsid w:val="FD369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7">
    <w:name w:val="UserStyle_0"/>
    <w:basedOn w:val="1"/>
    <w:next w:val="1"/>
    <w:qFormat/>
    <w:uiPriority w:val="0"/>
    <w:pPr>
      <w:spacing w:beforeAutospacing="1" w:afterAutospacing="1"/>
      <w:jc w:val="left"/>
    </w:pPr>
    <w:rPr>
      <w:kern w:val="44"/>
      <w:szCs w:val="48"/>
    </w:rPr>
  </w:style>
  <w:style w:type="character" w:customStyle="1" w:styleId="8">
    <w:name w:val="页眉 字符"/>
    <w:basedOn w:val="6"/>
    <w:link w:val="3"/>
    <w:qFormat/>
    <w:uiPriority w:val="0"/>
    <w:rPr>
      <w:rFonts w:ascii="Times New Roman" w:hAnsi="Times New Roman" w:eastAsia="方正仿宋_GBK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="Times New Roman" w:hAnsi="Times New Roman" w:eastAsia="方正仿宋_GBK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1283</Words>
  <Characters>1421</Characters>
  <Lines>13</Lines>
  <Paragraphs>3</Paragraphs>
  <TotalTime>0</TotalTime>
  <ScaleCrop>false</ScaleCrop>
  <LinksUpToDate>false</LinksUpToDate>
  <CharactersWithSpaces>1421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2024-07-13T06:46:00Z</dcterms:created>
  <dc:creator>qjzrzy</dc:creator>
  <cp:lastModifiedBy>peach</cp:lastModifiedBy>
  <dcterms:modified xsi:type="dcterms:W3CDTF">2024-10-18T07:03:24Z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C948F49EFDFE47B7928DA926AE0F9DA8_13</vt:lpwstr>
  </property>
</Properties>
</file>