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64F2CE">
      <w:pPr>
        <w:spacing w:line="540" w:lineRule="exact"/>
        <w:jc w:val="center"/>
        <w:rPr>
          <w:rFonts w:eastAsia="方正小标宋简体"/>
          <w:color w:val="auto"/>
          <w:sz w:val="44"/>
          <w:szCs w:val="44"/>
          <w:highlight w:val="none"/>
        </w:rPr>
      </w:pPr>
      <w:r>
        <w:rPr>
          <w:rFonts w:hint="eastAsia" w:eastAsia="方正小标宋简体"/>
          <w:color w:val="auto"/>
          <w:sz w:val="44"/>
          <w:szCs w:val="44"/>
          <w:highlight w:val="none"/>
        </w:rPr>
        <w:t>临沧市</w:t>
      </w:r>
      <w:r>
        <w:rPr>
          <w:rFonts w:eastAsia="方正小标宋简体"/>
          <w:color w:val="auto"/>
          <w:sz w:val="44"/>
          <w:szCs w:val="44"/>
          <w:highlight w:val="none"/>
        </w:rPr>
        <w:t>中心城区</w:t>
      </w:r>
      <w:r>
        <w:rPr>
          <w:rFonts w:hint="eastAsia" w:eastAsia="方正小标宋简体"/>
          <w:color w:val="auto"/>
          <w:sz w:val="44"/>
          <w:szCs w:val="44"/>
          <w:highlight w:val="none"/>
          <w:lang w:val="en-US" w:eastAsia="zh-CN"/>
        </w:rPr>
        <w:t>沧江园</w:t>
      </w:r>
      <w:r>
        <w:rPr>
          <w:rFonts w:eastAsia="方正小标宋简体"/>
          <w:color w:val="auto"/>
          <w:sz w:val="44"/>
          <w:szCs w:val="44"/>
          <w:highlight w:val="none"/>
        </w:rPr>
        <w:t>单元</w:t>
      </w:r>
    </w:p>
    <w:p w14:paraId="3FC3AF44">
      <w:pPr>
        <w:spacing w:line="540" w:lineRule="exact"/>
        <w:jc w:val="center"/>
        <w:rPr>
          <w:color w:val="auto"/>
          <w:highlight w:val="none"/>
        </w:rPr>
      </w:pPr>
      <w:r>
        <w:rPr>
          <w:rFonts w:eastAsia="方正小标宋简体"/>
          <w:color w:val="auto"/>
          <w:sz w:val="44"/>
          <w:szCs w:val="44"/>
          <w:highlight w:val="none"/>
        </w:rPr>
        <w:t>详细规划草案公示</w:t>
      </w:r>
    </w:p>
    <w:p w14:paraId="51278E42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一、规划范围</w:t>
      </w:r>
    </w:p>
    <w:p w14:paraId="7589498C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本单元位于</w:t>
      </w:r>
      <w:r>
        <w:rPr>
          <w:rFonts w:hint="eastAsia"/>
          <w:color w:val="auto"/>
          <w:highlight w:val="none"/>
          <w:lang w:val="en-US" w:eastAsia="zh-CN"/>
        </w:rPr>
        <w:t>临沧</w:t>
      </w:r>
      <w:r>
        <w:rPr>
          <w:rFonts w:hint="eastAsia"/>
          <w:color w:val="auto"/>
          <w:highlight w:val="none"/>
        </w:rPr>
        <w:t>市</w:t>
      </w:r>
      <w:r>
        <w:rPr>
          <w:rFonts w:hint="eastAsia"/>
          <w:color w:val="auto"/>
          <w:highlight w:val="none"/>
          <w:lang w:val="en-US" w:eastAsia="zh-CN"/>
        </w:rPr>
        <w:t>临翔</w:t>
      </w:r>
      <w:r>
        <w:rPr>
          <w:rFonts w:hint="eastAsia"/>
          <w:color w:val="auto"/>
          <w:highlight w:val="none"/>
        </w:rPr>
        <w:t>区，西至</w:t>
      </w:r>
      <w:r>
        <w:rPr>
          <w:rFonts w:hint="eastAsia"/>
          <w:color w:val="auto"/>
          <w:highlight w:val="none"/>
          <w:lang w:val="en-US" w:eastAsia="zh-CN"/>
        </w:rPr>
        <w:t>西河北路、西河南岸</w:t>
      </w:r>
      <w:r>
        <w:rPr>
          <w:rFonts w:hint="eastAsia"/>
          <w:color w:val="auto"/>
          <w:highlight w:val="none"/>
        </w:rPr>
        <w:t>，南至</w:t>
      </w:r>
      <w:r>
        <w:rPr>
          <w:rFonts w:hint="eastAsia"/>
          <w:color w:val="auto"/>
          <w:highlight w:val="none"/>
          <w:lang w:val="en-US" w:eastAsia="zh-CN"/>
        </w:rPr>
        <w:t>南塘街、圈掌街</w:t>
      </w:r>
      <w:r>
        <w:rPr>
          <w:rFonts w:hint="eastAsia"/>
          <w:color w:val="auto"/>
          <w:highlight w:val="none"/>
        </w:rPr>
        <w:t>，东至</w:t>
      </w:r>
      <w:r>
        <w:rPr>
          <w:rFonts w:hint="eastAsia"/>
          <w:color w:val="auto"/>
          <w:highlight w:val="none"/>
          <w:lang w:val="en-US" w:eastAsia="zh-CN"/>
        </w:rPr>
        <w:t>缅宁大道</w:t>
      </w:r>
      <w:r>
        <w:rPr>
          <w:rFonts w:hint="eastAsia"/>
          <w:color w:val="auto"/>
          <w:highlight w:val="none"/>
        </w:rPr>
        <w:t>，北至</w:t>
      </w:r>
      <w:r>
        <w:rPr>
          <w:rFonts w:hint="eastAsia"/>
          <w:color w:val="auto"/>
          <w:highlight w:val="none"/>
          <w:lang w:val="en-US" w:eastAsia="zh-CN"/>
        </w:rPr>
        <w:t>田心路</w:t>
      </w:r>
      <w:r>
        <w:rPr>
          <w:rFonts w:hint="eastAsia"/>
          <w:color w:val="auto"/>
          <w:highlight w:val="none"/>
        </w:rPr>
        <w:t>，单元编码为530902001010001。</w:t>
      </w:r>
    </w:p>
    <w:p w14:paraId="2ED77C51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二、目标定位与功能定位</w:t>
      </w:r>
    </w:p>
    <w:p w14:paraId="4C4D10A1">
      <w:pPr>
        <w:spacing w:line="540" w:lineRule="exact"/>
        <w:ind w:firstLine="640" w:firstLineChars="200"/>
        <w:rPr>
          <w:rFonts w:hint="default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</w:rPr>
        <w:t>本单元目标定位为：</w:t>
      </w:r>
      <w:r>
        <w:rPr>
          <w:rFonts w:hint="eastAsia"/>
          <w:color w:val="auto"/>
          <w:highlight w:val="none"/>
          <w:lang w:val="en-US" w:eastAsia="zh-CN"/>
        </w:rPr>
        <w:t>临沧市中心城区的</w:t>
      </w:r>
      <w:r>
        <w:rPr>
          <w:rFonts w:hint="eastAsia"/>
          <w:color w:val="auto"/>
          <w:highlight w:val="none"/>
        </w:rPr>
        <w:t>核心功能区、</w:t>
      </w:r>
      <w:r>
        <w:rPr>
          <w:rFonts w:hint="eastAsia"/>
          <w:color w:val="auto"/>
          <w:highlight w:val="none"/>
          <w:lang w:val="en-US" w:eastAsia="zh-CN"/>
        </w:rPr>
        <w:t>城市公共服务核心</w:t>
      </w:r>
      <w:r>
        <w:rPr>
          <w:rFonts w:hint="eastAsia"/>
          <w:color w:val="auto"/>
          <w:highlight w:val="none"/>
        </w:rPr>
        <w:t>。本单元</w:t>
      </w:r>
      <w:r>
        <w:rPr>
          <w:rFonts w:hint="eastAsia"/>
          <w:color w:val="auto"/>
          <w:highlight w:val="none"/>
          <w:lang w:val="en-US" w:eastAsia="zh-CN"/>
        </w:rPr>
        <w:t>将打造成为城市中心</w:t>
      </w:r>
      <w:r>
        <w:rPr>
          <w:rFonts w:hint="eastAsia"/>
          <w:color w:val="auto"/>
          <w:highlight w:val="none"/>
        </w:rPr>
        <w:t>核心功能的活力空间载体</w:t>
      </w:r>
      <w:r>
        <w:rPr>
          <w:rFonts w:hint="eastAsia"/>
          <w:color w:val="auto"/>
          <w:highlight w:val="none"/>
          <w:lang w:eastAsia="zh-CN"/>
        </w:rPr>
        <w:t>，</w:t>
      </w:r>
      <w:r>
        <w:rPr>
          <w:rFonts w:hint="eastAsia"/>
          <w:color w:val="auto"/>
          <w:highlight w:val="none"/>
          <w:lang w:val="en-US" w:eastAsia="zh-CN"/>
        </w:rPr>
        <w:t>以公共服务、文化展示、生活休闲和宜居生活为主导功能。</w:t>
      </w:r>
    </w:p>
    <w:p w14:paraId="08C61AC7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三、规模控制与用地结构</w:t>
      </w:r>
    </w:p>
    <w:p w14:paraId="1D39A830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本单元常住人口5</w:t>
      </w:r>
      <w:r>
        <w:rPr>
          <w:color w:val="auto"/>
          <w:highlight w:val="none"/>
        </w:rPr>
        <w:t>.0</w:t>
      </w:r>
      <w:r>
        <w:rPr>
          <w:rFonts w:hint="eastAsia"/>
          <w:color w:val="auto"/>
          <w:highlight w:val="none"/>
        </w:rPr>
        <w:t>万人，单元面积</w:t>
      </w:r>
      <w:r>
        <w:rPr>
          <w:color w:val="auto"/>
          <w:highlight w:val="none"/>
        </w:rPr>
        <w:t>476</w:t>
      </w:r>
      <w:r>
        <w:rPr>
          <w:rFonts w:hint="eastAsia"/>
          <w:color w:val="auto"/>
          <w:highlight w:val="none"/>
        </w:rPr>
        <w:t>.</w:t>
      </w:r>
      <w:r>
        <w:rPr>
          <w:color w:val="auto"/>
          <w:highlight w:val="none"/>
        </w:rPr>
        <w:t>98</w:t>
      </w:r>
      <w:r>
        <w:rPr>
          <w:rFonts w:hint="eastAsia"/>
          <w:color w:val="auto"/>
          <w:highlight w:val="none"/>
        </w:rPr>
        <w:t>公顷。城镇开发边界内建设用地规模461.58公顷。</w:t>
      </w:r>
      <w:r>
        <w:rPr>
          <w:color w:val="auto"/>
          <w:highlight w:val="none"/>
        </w:rPr>
        <w:t>其中</w:t>
      </w:r>
      <w:r>
        <w:rPr>
          <w:rFonts w:hint="eastAsia"/>
          <w:color w:val="auto"/>
          <w:highlight w:val="none"/>
        </w:rPr>
        <w:t>，</w:t>
      </w:r>
      <w:r>
        <w:rPr>
          <w:color w:val="auto"/>
          <w:highlight w:val="none"/>
        </w:rPr>
        <w:t>居住用地</w:t>
      </w:r>
      <w:r>
        <w:rPr>
          <w:rFonts w:hint="eastAsia"/>
          <w:color w:val="auto"/>
          <w:highlight w:val="none"/>
        </w:rPr>
        <w:t>140.41</w:t>
      </w:r>
      <w:r>
        <w:rPr>
          <w:color w:val="auto"/>
          <w:highlight w:val="none"/>
        </w:rPr>
        <w:t>公顷</w:t>
      </w:r>
      <w:r>
        <w:rPr>
          <w:rFonts w:hint="eastAsia"/>
          <w:color w:val="auto"/>
          <w:highlight w:val="none"/>
        </w:rPr>
        <w:t>，</w:t>
      </w:r>
      <w:r>
        <w:rPr>
          <w:color w:val="auto"/>
          <w:highlight w:val="none"/>
        </w:rPr>
        <w:t>商住混合用地</w:t>
      </w:r>
      <w:r>
        <w:rPr>
          <w:rFonts w:hint="eastAsia"/>
          <w:color w:val="auto"/>
          <w:highlight w:val="none"/>
        </w:rPr>
        <w:t>38.73</w:t>
      </w:r>
      <w:r>
        <w:rPr>
          <w:color w:val="auto"/>
          <w:highlight w:val="none"/>
        </w:rPr>
        <w:t>公顷</w:t>
      </w:r>
      <w:r>
        <w:rPr>
          <w:rFonts w:hint="eastAsia"/>
          <w:color w:val="auto"/>
          <w:highlight w:val="none"/>
        </w:rPr>
        <w:t>，</w:t>
      </w:r>
      <w:r>
        <w:rPr>
          <w:color w:val="auto"/>
          <w:highlight w:val="none"/>
        </w:rPr>
        <w:t>公共管理与公共服务用地</w:t>
      </w:r>
      <w:r>
        <w:rPr>
          <w:rFonts w:hint="eastAsia"/>
          <w:color w:val="auto"/>
          <w:highlight w:val="none"/>
        </w:rPr>
        <w:t>49.25公顷</w:t>
      </w:r>
      <w:r>
        <w:rPr>
          <w:color w:val="auto"/>
          <w:highlight w:val="none"/>
        </w:rPr>
        <w:t>，商业服务业用地</w:t>
      </w:r>
      <w:r>
        <w:rPr>
          <w:rFonts w:hint="eastAsia"/>
          <w:color w:val="auto"/>
          <w:highlight w:val="none"/>
        </w:rPr>
        <w:t>44.62</w:t>
      </w:r>
      <w:r>
        <w:rPr>
          <w:color w:val="auto"/>
          <w:highlight w:val="none"/>
        </w:rPr>
        <w:t>公顷，交通运输用地</w:t>
      </w:r>
      <w:r>
        <w:rPr>
          <w:rFonts w:hint="eastAsia"/>
          <w:color w:val="auto"/>
          <w:highlight w:val="none"/>
        </w:rPr>
        <w:t>102.34</w:t>
      </w:r>
      <w:r>
        <w:rPr>
          <w:color w:val="auto"/>
          <w:highlight w:val="none"/>
        </w:rPr>
        <w:t>公顷，</w:t>
      </w:r>
      <w:r>
        <w:rPr>
          <w:rFonts w:hint="eastAsia"/>
          <w:color w:val="auto"/>
          <w:highlight w:val="none"/>
        </w:rPr>
        <w:t>公用设施用地2.97公顷，</w:t>
      </w:r>
      <w:r>
        <w:rPr>
          <w:color w:val="auto"/>
          <w:highlight w:val="none"/>
        </w:rPr>
        <w:t>绿地与开敞空间用地</w:t>
      </w:r>
      <w:r>
        <w:rPr>
          <w:rFonts w:hint="eastAsia"/>
          <w:color w:val="auto"/>
          <w:highlight w:val="none"/>
        </w:rPr>
        <w:t>78.00</w:t>
      </w:r>
      <w:r>
        <w:rPr>
          <w:color w:val="auto"/>
          <w:highlight w:val="none"/>
        </w:rPr>
        <w:t>公顷</w:t>
      </w:r>
      <w:r>
        <w:rPr>
          <w:rFonts w:hint="eastAsia"/>
          <w:color w:val="auto"/>
          <w:highlight w:val="none"/>
        </w:rPr>
        <w:t>，特殊用地5.25公顷</w:t>
      </w:r>
      <w:r>
        <w:rPr>
          <w:color w:val="auto"/>
          <w:highlight w:val="none"/>
        </w:rPr>
        <w:t>。</w:t>
      </w:r>
    </w:p>
    <w:p w14:paraId="5D9444FD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  <w:lang w:val="en-US" w:eastAsia="zh-CN"/>
        </w:rPr>
        <w:t>四</w:t>
      </w: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、底线管控</w:t>
      </w:r>
    </w:p>
    <w:p w14:paraId="091873DA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本单元涉及城镇开发边界476.98公顷，不涉及永久基本农田保护、生态保护红线。</w:t>
      </w:r>
    </w:p>
    <w:p w14:paraId="361A9985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  <w:lang w:val="en-US" w:eastAsia="zh-CN"/>
        </w:rPr>
        <w:t>五</w:t>
      </w: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、公共服务设施规划</w:t>
      </w:r>
    </w:p>
    <w:p w14:paraId="01287A47">
      <w:pPr>
        <w:spacing w:line="540" w:lineRule="exact"/>
        <w:ind w:left="640"/>
        <w:rPr>
          <w:rFonts w:hint="eastAsia" w:ascii="方正楷体_GBK" w:hAnsi="方正楷体_GBK" w:eastAsia="方正楷体_GBK" w:cs="方正楷体_GBK"/>
          <w:color w:val="auto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highlight w:val="none"/>
        </w:rPr>
        <w:t>（一）城镇社区服务设施</w:t>
      </w:r>
    </w:p>
    <w:p w14:paraId="184234D1">
      <w:pPr>
        <w:spacing w:line="540" w:lineRule="exact"/>
        <w:ind w:firstLine="64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规划</w:t>
      </w:r>
      <w:r>
        <w:rPr>
          <w:rFonts w:hint="eastAsia"/>
          <w:color w:val="auto"/>
          <w:highlight w:val="none"/>
          <w:lang w:val="en-US" w:eastAsia="zh-CN"/>
        </w:rPr>
        <w:t>区域级</w:t>
      </w:r>
      <w:r>
        <w:rPr>
          <w:rFonts w:hint="eastAsia" w:ascii="方正楷体_GBK" w:hAnsi="方正楷体_GBK" w:eastAsia="方正楷体_GBK" w:cs="方正楷体_GBK"/>
          <w:color w:val="auto"/>
          <w:highlight w:val="none"/>
        </w:rPr>
        <w:t>城镇社区</w:t>
      </w:r>
      <w:r>
        <w:rPr>
          <w:rFonts w:hint="eastAsia" w:ascii="方正楷体_GBK" w:hAnsi="方正楷体_GBK" w:eastAsia="方正楷体_GBK" w:cs="方正楷体_GBK"/>
          <w:color w:val="auto"/>
          <w:highlight w:val="none"/>
          <w:lang w:val="en-US" w:eastAsia="zh-CN"/>
        </w:rPr>
        <w:t>行政</w:t>
      </w:r>
      <w:r>
        <w:rPr>
          <w:rFonts w:hint="eastAsia"/>
          <w:color w:val="auto"/>
          <w:highlight w:val="none"/>
        </w:rPr>
        <w:t>用地</w:t>
      </w:r>
      <w:r>
        <w:rPr>
          <w:rFonts w:hint="eastAsia"/>
          <w:color w:val="auto"/>
          <w:highlight w:val="none"/>
          <w:lang w:val="en-US" w:eastAsia="zh-CN"/>
        </w:rPr>
        <w:t>0.6</w:t>
      </w:r>
      <w:r>
        <w:rPr>
          <w:rFonts w:hint="eastAsia"/>
          <w:color w:val="auto"/>
          <w:highlight w:val="none"/>
        </w:rPr>
        <w:t>公顷</w:t>
      </w:r>
      <w:r>
        <w:rPr>
          <w:rFonts w:hint="eastAsia"/>
          <w:color w:val="auto"/>
          <w:highlight w:val="none"/>
          <w:lang w:eastAsia="zh-CN"/>
        </w:rPr>
        <w:t>，</w:t>
      </w:r>
      <w:r>
        <w:rPr>
          <w:rFonts w:hint="eastAsia"/>
          <w:color w:val="auto"/>
          <w:highlight w:val="none"/>
          <w:lang w:val="en-US" w:eastAsia="zh-CN"/>
        </w:rPr>
        <w:t>单元内保留凤翔街道办事处。</w:t>
      </w:r>
      <w:r>
        <w:rPr>
          <w:rFonts w:hint="eastAsia"/>
          <w:color w:val="auto"/>
          <w:highlight w:val="none"/>
        </w:rPr>
        <w:t>根据“15分钟—5-10分钟”社区生活圈的布局和配置要求，本单元共划分为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</w:rPr>
        <w:t>个1</w:t>
      </w:r>
      <w:r>
        <w:rPr>
          <w:color w:val="auto"/>
          <w:highlight w:val="none"/>
        </w:rPr>
        <w:t>5</w:t>
      </w:r>
      <w:r>
        <w:rPr>
          <w:rFonts w:hint="eastAsia"/>
          <w:color w:val="auto"/>
          <w:highlight w:val="none"/>
        </w:rPr>
        <w:t>分钟社区生活圈，</w:t>
      </w:r>
      <w:r>
        <w:rPr>
          <w:rFonts w:hint="eastAsia"/>
          <w:color w:val="auto"/>
          <w:highlight w:val="none"/>
          <w:lang w:val="en-US" w:eastAsia="zh-CN"/>
        </w:rPr>
        <w:t>5</w:t>
      </w:r>
      <w:r>
        <w:rPr>
          <w:rFonts w:hint="eastAsia"/>
          <w:color w:val="auto"/>
          <w:highlight w:val="none"/>
        </w:rPr>
        <w:t>个5-10分钟社区生活圈</w:t>
      </w:r>
      <w:r>
        <w:rPr>
          <w:rFonts w:hint="eastAsia"/>
          <w:color w:val="auto"/>
          <w:highlight w:val="none"/>
          <w:lang w:val="en-US" w:eastAsia="zh-CN"/>
        </w:rPr>
        <w:t>；</w:t>
      </w:r>
      <w:r>
        <w:rPr>
          <w:rFonts w:hint="eastAsia"/>
          <w:color w:val="auto"/>
          <w:highlight w:val="none"/>
        </w:rPr>
        <w:t>规划非独立占地城镇社区服务设施</w:t>
      </w:r>
      <w:r>
        <w:rPr>
          <w:rFonts w:hint="eastAsia"/>
          <w:color w:val="auto"/>
          <w:highlight w:val="none"/>
          <w:lang w:val="en-US" w:eastAsia="zh-CN"/>
        </w:rPr>
        <w:t>5</w:t>
      </w:r>
      <w:r>
        <w:rPr>
          <w:rFonts w:hint="eastAsia"/>
          <w:color w:val="auto"/>
          <w:highlight w:val="none"/>
        </w:rPr>
        <w:t>处，分别配置社区级文化、体育、医疗、养老设施。</w:t>
      </w:r>
    </w:p>
    <w:p w14:paraId="35805284">
      <w:pPr>
        <w:spacing w:line="540" w:lineRule="exact"/>
        <w:ind w:left="640"/>
        <w:rPr>
          <w:rFonts w:hint="eastAsia" w:ascii="方正楷体_GBK" w:hAnsi="方正楷体_GBK" w:eastAsia="方正楷体_GBK" w:cs="方正楷体_GBK"/>
          <w:color w:val="auto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highlight w:val="none"/>
        </w:rPr>
        <w:t>（二）教育设施</w:t>
      </w:r>
    </w:p>
    <w:p w14:paraId="16EA6B92">
      <w:pPr>
        <w:spacing w:line="540" w:lineRule="exact"/>
        <w:ind w:firstLine="640"/>
        <w:rPr>
          <w:rFonts w:hint="eastAsia" w:ascii="Times New Roman" w:hAnsi="Times New Roman" w:cs="Times New Roman"/>
          <w:color w:val="auto"/>
          <w:highlight w:val="none"/>
        </w:rPr>
      </w:pPr>
      <w:r>
        <w:rPr>
          <w:rFonts w:hint="eastAsia" w:ascii="Times New Roman" w:hAnsi="Times New Roman" w:cs="Times New Roman"/>
          <w:color w:val="auto"/>
          <w:highlight w:val="none"/>
        </w:rPr>
        <w:t>单元内规划形成1所</w:t>
      </w:r>
      <w:r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  <w:t>九年一贯制学校</w:t>
      </w:r>
      <w:r>
        <w:rPr>
          <w:rFonts w:hint="eastAsia" w:ascii="Times New Roman" w:hAnsi="Times New Roman" w:cs="Times New Roman"/>
          <w:color w:val="auto"/>
          <w:highlight w:val="none"/>
        </w:rPr>
        <w:t>、</w:t>
      </w:r>
      <w:r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  <w:t>3所</w:t>
      </w:r>
      <w:r>
        <w:rPr>
          <w:rFonts w:hint="eastAsia" w:ascii="Times New Roman" w:hAnsi="Times New Roman" w:cs="Times New Roman"/>
          <w:color w:val="auto"/>
          <w:highlight w:val="none"/>
        </w:rPr>
        <w:t>小学、</w:t>
      </w:r>
      <w:r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  <w:t>6</w:t>
      </w:r>
      <w:r>
        <w:rPr>
          <w:rFonts w:hint="eastAsia" w:ascii="Times New Roman" w:hAnsi="Times New Roman" w:cs="Times New Roman"/>
          <w:color w:val="auto"/>
          <w:highlight w:val="none"/>
        </w:rPr>
        <w:t>处配建幼儿园，规划教育设施用地面积</w:t>
      </w:r>
      <w:r>
        <w:rPr>
          <w:rFonts w:hint="eastAsia" w:cs="Times New Roman"/>
          <w:color w:val="auto"/>
          <w:highlight w:val="none"/>
          <w:lang w:val="en-US" w:eastAsia="zh-CN"/>
        </w:rPr>
        <w:t>9.37</w:t>
      </w:r>
      <w:r>
        <w:rPr>
          <w:rFonts w:hint="eastAsia" w:ascii="Times New Roman" w:hAnsi="Times New Roman" w:cs="Times New Roman"/>
          <w:color w:val="auto"/>
          <w:highlight w:val="none"/>
        </w:rPr>
        <w:t>公项。其中，</w:t>
      </w:r>
      <w:r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  <w:t>保留5</w:t>
      </w:r>
      <w:r>
        <w:rPr>
          <w:rFonts w:hint="eastAsia" w:ascii="Times New Roman" w:hAnsi="Times New Roman" w:cs="Times New Roman"/>
          <w:color w:val="auto"/>
          <w:highlight w:val="none"/>
        </w:rPr>
        <w:t>处配建幼儿园</w:t>
      </w:r>
      <w:r>
        <w:rPr>
          <w:rFonts w:hint="eastAsia" w:ascii="Times New Roman" w:hAnsi="Times New Roman" w:cs="Times New Roman"/>
          <w:color w:val="auto"/>
          <w:highlight w:val="none"/>
          <w:lang w:eastAsia="zh-CN"/>
        </w:rPr>
        <w:t>；</w:t>
      </w:r>
      <w:r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  <w:t>扩建2</w:t>
      </w:r>
      <w:r>
        <w:rPr>
          <w:rFonts w:hint="eastAsia" w:ascii="Times New Roman" w:hAnsi="Times New Roman" w:cs="Times New Roman"/>
          <w:color w:val="auto"/>
          <w:highlight w:val="none"/>
        </w:rPr>
        <w:t>所</w:t>
      </w:r>
      <w:r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  <w:t>24</w:t>
      </w:r>
      <w:r>
        <w:rPr>
          <w:rFonts w:hint="eastAsia" w:ascii="Times New Roman" w:hAnsi="Times New Roman" w:cs="Times New Roman"/>
          <w:color w:val="auto"/>
          <w:highlight w:val="none"/>
        </w:rPr>
        <w:t>班高中；规划新增1所</w:t>
      </w:r>
      <w:r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  <w:t>36班九年一贯制学校</w:t>
      </w:r>
      <w:r>
        <w:rPr>
          <w:rFonts w:hint="eastAsia" w:ascii="Times New Roman" w:hAnsi="Times New Roman" w:cs="Times New Roman"/>
          <w:color w:val="auto"/>
          <w:highlight w:val="none"/>
        </w:rPr>
        <w:t>、</w:t>
      </w:r>
      <w:r>
        <w:rPr>
          <w:rFonts w:hint="eastAsia" w:ascii="Times New Roman" w:hAnsi="Times New Roman" w:cs="Times New Roman"/>
          <w:color w:val="auto"/>
          <w:highlight w:val="none"/>
          <w:lang w:val="en-US" w:eastAsia="zh-CN"/>
        </w:rPr>
        <w:t>1所30班小学、1</w:t>
      </w:r>
      <w:r>
        <w:rPr>
          <w:rFonts w:hint="eastAsia" w:ascii="Times New Roman" w:hAnsi="Times New Roman" w:cs="Times New Roman"/>
          <w:color w:val="auto"/>
          <w:highlight w:val="none"/>
        </w:rPr>
        <w:t>处配建幼儿园。幼儿园、小学、初中班级数余量可为周边单元服务。</w:t>
      </w:r>
    </w:p>
    <w:p w14:paraId="3A2D7CCE">
      <w:pPr>
        <w:spacing w:line="540" w:lineRule="exact"/>
        <w:ind w:left="640"/>
        <w:rPr>
          <w:rFonts w:hint="eastAsia" w:ascii="方正楷体_GBK" w:hAnsi="方正楷体_GBK" w:eastAsia="方正楷体_GBK" w:cs="方正楷体_GBK"/>
          <w:color w:val="auto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highlight w:val="none"/>
        </w:rPr>
        <w:t>（三）医疗卫生设施</w:t>
      </w:r>
    </w:p>
    <w:p w14:paraId="7E19D096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规划</w:t>
      </w:r>
      <w:r>
        <w:rPr>
          <w:rFonts w:hint="eastAsia"/>
          <w:color w:val="auto"/>
          <w:highlight w:val="none"/>
          <w:lang w:val="en-US" w:eastAsia="zh-CN"/>
        </w:rPr>
        <w:t>区域级</w:t>
      </w:r>
      <w:r>
        <w:rPr>
          <w:rFonts w:hint="eastAsia"/>
          <w:color w:val="auto"/>
          <w:highlight w:val="none"/>
        </w:rPr>
        <w:t>医疗卫生用地</w:t>
      </w:r>
      <w:r>
        <w:rPr>
          <w:rFonts w:hint="eastAsia"/>
          <w:color w:val="auto"/>
          <w:highlight w:val="none"/>
          <w:lang w:val="en-US" w:eastAsia="zh-CN"/>
        </w:rPr>
        <w:t>5.64</w:t>
      </w:r>
      <w:r>
        <w:rPr>
          <w:rFonts w:hint="eastAsia"/>
          <w:color w:val="auto"/>
          <w:highlight w:val="none"/>
        </w:rPr>
        <w:t>公顷</w:t>
      </w:r>
      <w:r>
        <w:rPr>
          <w:rFonts w:hint="eastAsia"/>
          <w:color w:val="auto"/>
          <w:highlight w:val="none"/>
          <w:lang w:eastAsia="zh-CN"/>
        </w:rPr>
        <w:t>，</w:t>
      </w:r>
      <w:r>
        <w:rPr>
          <w:rFonts w:hint="eastAsia"/>
          <w:color w:val="auto"/>
          <w:highlight w:val="none"/>
        </w:rPr>
        <w:t>单元内保留</w:t>
      </w:r>
      <w:r>
        <w:rPr>
          <w:color w:val="auto"/>
          <w:highlight w:val="none"/>
        </w:rPr>
        <w:t>7</w:t>
      </w:r>
      <w:r>
        <w:rPr>
          <w:rFonts w:hint="eastAsia"/>
          <w:color w:val="auto"/>
          <w:highlight w:val="none"/>
        </w:rPr>
        <w:t>处市级医疗卫生设施</w:t>
      </w:r>
      <w:r>
        <w:rPr>
          <w:rFonts w:hint="eastAsia"/>
          <w:color w:val="auto"/>
          <w:highlight w:val="none"/>
          <w:lang w:eastAsia="zh-CN"/>
        </w:rPr>
        <w:t>。</w:t>
      </w:r>
      <w:r>
        <w:rPr>
          <w:rFonts w:hint="eastAsia"/>
          <w:color w:val="auto"/>
          <w:highlight w:val="none"/>
        </w:rPr>
        <w:t>按照“15分钟—5-10分钟”社区生活圈布局社区医疗卫生设施，设置15分钟医疗卫生设施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</w:rPr>
        <w:t>处，为</w:t>
      </w:r>
      <w:r>
        <w:rPr>
          <w:rFonts w:hint="eastAsia"/>
          <w:color w:val="auto"/>
          <w:highlight w:val="none"/>
          <w:lang w:val="en-US" w:eastAsia="zh-CN"/>
        </w:rPr>
        <w:t>社区</w:t>
      </w:r>
      <w:r>
        <w:rPr>
          <w:rFonts w:hint="eastAsia"/>
          <w:color w:val="auto"/>
          <w:highlight w:val="none"/>
        </w:rPr>
        <w:t>卫生服务中心，</w:t>
      </w:r>
      <w:r>
        <w:rPr>
          <w:rFonts w:hint="eastAsia"/>
          <w:color w:val="auto"/>
          <w:highlight w:val="none"/>
          <w:lang w:val="en-US" w:eastAsia="zh-CN"/>
        </w:rPr>
        <w:t>用地面积0.25公顷</w:t>
      </w:r>
      <w:r>
        <w:rPr>
          <w:rFonts w:hint="eastAsia"/>
          <w:color w:val="auto"/>
          <w:highlight w:val="none"/>
        </w:rPr>
        <w:t>。结合社区服务站，设置</w:t>
      </w:r>
      <w:r>
        <w:rPr>
          <w:rFonts w:hint="eastAsia"/>
          <w:color w:val="auto"/>
          <w:highlight w:val="none"/>
          <w:lang w:val="en-US" w:eastAsia="zh-CN"/>
        </w:rPr>
        <w:t>5</w:t>
      </w:r>
      <w:r>
        <w:rPr>
          <w:rFonts w:hint="eastAsia"/>
          <w:color w:val="auto"/>
          <w:highlight w:val="none"/>
        </w:rPr>
        <w:t>处社区卫生服务站。</w:t>
      </w:r>
    </w:p>
    <w:p w14:paraId="3F63FDF5">
      <w:pPr>
        <w:spacing w:line="540" w:lineRule="exact"/>
        <w:ind w:left="640"/>
        <w:rPr>
          <w:rFonts w:hint="eastAsia" w:ascii="方正楷体_GBK" w:hAnsi="方正楷体_GBK" w:eastAsia="方正楷体_GBK" w:cs="方正楷体_GBK"/>
          <w:color w:val="auto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highlight w:val="none"/>
        </w:rPr>
        <w:t>（四）文化设施</w:t>
      </w:r>
    </w:p>
    <w:p w14:paraId="7A127665">
      <w:pPr>
        <w:spacing w:line="540" w:lineRule="exact"/>
        <w:ind w:firstLine="640"/>
        <w:rPr>
          <w:color w:val="auto"/>
          <w:highlight w:val="none"/>
        </w:rPr>
      </w:pPr>
      <w:r>
        <w:rPr>
          <w:color w:val="auto"/>
          <w:highlight w:val="none"/>
        </w:rPr>
        <w:t>规划</w:t>
      </w:r>
      <w:r>
        <w:rPr>
          <w:rFonts w:hint="eastAsia"/>
          <w:color w:val="auto"/>
          <w:highlight w:val="none"/>
          <w:lang w:val="en-US" w:eastAsia="zh-CN"/>
        </w:rPr>
        <w:t>区域级</w:t>
      </w:r>
      <w:r>
        <w:rPr>
          <w:color w:val="auto"/>
          <w:highlight w:val="none"/>
        </w:rPr>
        <w:t>文化设施用地</w:t>
      </w:r>
      <w:r>
        <w:rPr>
          <w:rFonts w:hint="eastAsia"/>
          <w:color w:val="auto"/>
          <w:highlight w:val="none"/>
          <w:lang w:val="en-US" w:eastAsia="zh-CN"/>
        </w:rPr>
        <w:t>2.66</w:t>
      </w:r>
      <w:r>
        <w:rPr>
          <w:color w:val="auto"/>
          <w:highlight w:val="none"/>
        </w:rPr>
        <w:t>公项</w:t>
      </w:r>
      <w:r>
        <w:rPr>
          <w:rFonts w:hint="eastAsia"/>
          <w:color w:val="auto"/>
          <w:highlight w:val="none"/>
        </w:rPr>
        <w:t>。</w:t>
      </w:r>
      <w:r>
        <w:rPr>
          <w:color w:val="auto"/>
          <w:highlight w:val="none"/>
        </w:rPr>
        <w:t>单元内</w:t>
      </w:r>
      <w:r>
        <w:rPr>
          <w:rFonts w:hint="eastAsia"/>
          <w:color w:val="auto"/>
          <w:highlight w:val="none"/>
          <w:lang w:val="en-US" w:eastAsia="zh-CN"/>
        </w:rPr>
        <w:t>保留</w:t>
      </w:r>
      <w:r>
        <w:rPr>
          <w:rFonts w:hint="eastAsia"/>
          <w:color w:val="auto"/>
          <w:highlight w:val="none"/>
        </w:rPr>
        <w:t>市级文化设施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</w:rPr>
        <w:t>处</w:t>
      </w:r>
      <w:r>
        <w:rPr>
          <w:rFonts w:hint="eastAsia"/>
          <w:color w:val="auto"/>
          <w:highlight w:val="none"/>
          <w:lang w:eastAsia="zh-CN"/>
        </w:rPr>
        <w:t>，</w:t>
      </w:r>
      <w:r>
        <w:rPr>
          <w:rFonts w:hint="eastAsia"/>
          <w:color w:val="auto"/>
          <w:highlight w:val="none"/>
          <w:lang w:val="en-US" w:eastAsia="zh-CN"/>
        </w:rPr>
        <w:t>规划区级</w:t>
      </w:r>
      <w:r>
        <w:rPr>
          <w:rFonts w:hint="eastAsia"/>
          <w:color w:val="auto"/>
          <w:highlight w:val="none"/>
        </w:rPr>
        <w:t>文化设施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</w:rPr>
        <w:t>处</w:t>
      </w:r>
      <w:r>
        <w:rPr>
          <w:rFonts w:hint="eastAsia"/>
          <w:color w:val="auto"/>
          <w:highlight w:val="none"/>
          <w:lang w:eastAsia="zh-CN"/>
        </w:rPr>
        <w:t>，</w:t>
      </w:r>
      <w:r>
        <w:rPr>
          <w:rFonts w:hint="eastAsia"/>
          <w:color w:val="auto"/>
          <w:highlight w:val="none"/>
          <w:lang w:val="en-US" w:eastAsia="zh-CN"/>
        </w:rPr>
        <w:t>为临翔区图书馆、文化馆。</w:t>
      </w:r>
      <w:r>
        <w:rPr>
          <w:rFonts w:hint="eastAsia"/>
          <w:color w:val="auto"/>
          <w:highlight w:val="none"/>
        </w:rPr>
        <w:t>按照“15分钟—5-10分钟”社区生活圈布局社区文化设施，设置15分钟文化设施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</w:rPr>
        <w:t>处，为</w:t>
      </w:r>
      <w:r>
        <w:rPr>
          <w:rFonts w:hint="eastAsia"/>
          <w:color w:val="auto"/>
          <w:highlight w:val="none"/>
          <w:lang w:val="en-US" w:eastAsia="zh-CN"/>
        </w:rPr>
        <w:t>社区</w:t>
      </w:r>
      <w:r>
        <w:rPr>
          <w:rFonts w:hint="eastAsia"/>
          <w:color w:val="auto"/>
          <w:highlight w:val="none"/>
        </w:rPr>
        <w:t>文化活动中心，与</w:t>
      </w:r>
      <w:r>
        <w:rPr>
          <w:rFonts w:hint="eastAsia"/>
          <w:color w:val="auto"/>
          <w:highlight w:val="none"/>
          <w:lang w:val="en-US" w:eastAsia="zh-CN"/>
        </w:rPr>
        <w:t>临翔区图书馆、文化馆</w:t>
      </w:r>
      <w:r>
        <w:rPr>
          <w:rFonts w:hint="eastAsia"/>
          <w:color w:val="auto"/>
          <w:highlight w:val="none"/>
        </w:rPr>
        <w:t>合建。结合社区服务站，设置</w:t>
      </w:r>
      <w:r>
        <w:rPr>
          <w:rFonts w:hint="eastAsia"/>
          <w:color w:val="auto"/>
          <w:highlight w:val="none"/>
          <w:lang w:val="en-US" w:eastAsia="zh-CN"/>
        </w:rPr>
        <w:t>5</w:t>
      </w:r>
      <w:r>
        <w:rPr>
          <w:rFonts w:hint="eastAsia"/>
          <w:color w:val="auto"/>
          <w:highlight w:val="none"/>
        </w:rPr>
        <w:t>处文化服务站。</w:t>
      </w:r>
    </w:p>
    <w:p w14:paraId="1D0BF37E">
      <w:pPr>
        <w:spacing w:line="540" w:lineRule="exact"/>
        <w:ind w:left="640"/>
        <w:rPr>
          <w:rFonts w:hint="eastAsia" w:ascii="方正楷体_GBK" w:hAnsi="方正楷体_GBK" w:eastAsia="方正楷体_GBK" w:cs="方正楷体_GBK"/>
          <w:color w:val="auto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highlight w:val="none"/>
        </w:rPr>
        <w:t>（五）体育设施</w:t>
      </w:r>
    </w:p>
    <w:p w14:paraId="6E88FD11">
      <w:pPr>
        <w:spacing w:line="540" w:lineRule="exact"/>
        <w:ind w:firstLine="64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规划设置</w:t>
      </w:r>
      <w:r>
        <w:rPr>
          <w:rFonts w:hint="eastAsia"/>
          <w:color w:val="auto"/>
          <w:highlight w:val="none"/>
          <w:lang w:val="en-US" w:eastAsia="zh-CN"/>
        </w:rPr>
        <w:t>社区</w:t>
      </w:r>
      <w:r>
        <w:rPr>
          <w:rFonts w:hint="eastAsia"/>
          <w:color w:val="auto"/>
          <w:highlight w:val="none"/>
        </w:rPr>
        <w:t>多功能运动场地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</w:rPr>
        <w:t>处，独立占地，用地面积</w:t>
      </w:r>
      <w:r>
        <w:rPr>
          <w:rFonts w:hint="eastAsia"/>
          <w:color w:val="auto"/>
          <w:highlight w:val="none"/>
          <w:lang w:val="en-US" w:eastAsia="zh-CN"/>
        </w:rPr>
        <w:t>0.31</w:t>
      </w:r>
      <w:r>
        <w:rPr>
          <w:rFonts w:hint="eastAsia"/>
          <w:color w:val="auto"/>
          <w:highlight w:val="none"/>
        </w:rPr>
        <w:t>公顷；结合绿地设置</w:t>
      </w:r>
      <w:r>
        <w:rPr>
          <w:rFonts w:hint="eastAsia"/>
          <w:color w:val="auto"/>
          <w:highlight w:val="none"/>
          <w:lang w:val="en-US" w:eastAsia="zh-CN"/>
        </w:rPr>
        <w:t>7</w:t>
      </w:r>
      <w:r>
        <w:rPr>
          <w:rFonts w:hint="eastAsia"/>
          <w:color w:val="auto"/>
          <w:highlight w:val="none"/>
        </w:rPr>
        <w:t>处小型多功能运动场地。</w:t>
      </w:r>
    </w:p>
    <w:p w14:paraId="18615C48">
      <w:pPr>
        <w:spacing w:line="540" w:lineRule="exact"/>
        <w:ind w:left="640"/>
        <w:rPr>
          <w:rFonts w:hint="eastAsia" w:ascii="方正楷体_GBK" w:hAnsi="方正楷体_GBK" w:eastAsia="方正楷体_GBK" w:cs="方正楷体_GBK"/>
          <w:color w:val="auto"/>
          <w:highlight w:val="none"/>
          <w:lang w:val="en"/>
        </w:rPr>
      </w:pPr>
      <w:r>
        <w:rPr>
          <w:rFonts w:hint="eastAsia" w:ascii="方正楷体_GBK" w:hAnsi="方正楷体_GBK" w:eastAsia="方正楷体_GBK" w:cs="方正楷体_GBK"/>
          <w:color w:val="auto"/>
          <w:highlight w:val="none"/>
          <w:lang w:val="en"/>
        </w:rPr>
        <w:t>（六）社会福利设施</w:t>
      </w:r>
    </w:p>
    <w:p w14:paraId="3A9F9B8B">
      <w:pPr>
        <w:spacing w:line="540" w:lineRule="exact"/>
        <w:ind w:firstLine="64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按照“15分钟—5-10分钟”社区生活圈布局社会福利设施，设置15分钟社会福利设施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</w:rPr>
        <w:t>处，为</w:t>
      </w:r>
      <w:r>
        <w:rPr>
          <w:rFonts w:hint="eastAsia"/>
          <w:color w:val="auto"/>
          <w:highlight w:val="none"/>
          <w:lang w:val="en-US" w:eastAsia="zh-CN"/>
        </w:rPr>
        <w:t>社区</w:t>
      </w:r>
      <w:r>
        <w:rPr>
          <w:rFonts w:hint="eastAsia"/>
          <w:color w:val="auto"/>
          <w:highlight w:val="none"/>
        </w:rPr>
        <w:t>老年人服务中心，</w:t>
      </w:r>
      <w:r>
        <w:rPr>
          <w:rFonts w:hint="eastAsia"/>
          <w:color w:val="auto"/>
          <w:highlight w:val="none"/>
          <w:lang w:val="en-US" w:eastAsia="zh-CN"/>
        </w:rPr>
        <w:t>用地面积0.57公顷</w:t>
      </w:r>
      <w:r>
        <w:rPr>
          <w:rFonts w:hint="eastAsia"/>
          <w:color w:val="auto"/>
          <w:highlight w:val="none"/>
        </w:rPr>
        <w:t>。结合社区服务站，设置</w:t>
      </w:r>
      <w:r>
        <w:rPr>
          <w:rFonts w:hint="eastAsia"/>
          <w:color w:val="auto"/>
          <w:highlight w:val="none"/>
          <w:lang w:val="en-US" w:eastAsia="zh-CN"/>
        </w:rPr>
        <w:t>5</w:t>
      </w:r>
      <w:r>
        <w:rPr>
          <w:rFonts w:hint="eastAsia"/>
          <w:color w:val="auto"/>
          <w:highlight w:val="none"/>
        </w:rPr>
        <w:t>处老年人日间照料中心。</w:t>
      </w:r>
    </w:p>
    <w:p w14:paraId="6A1DE73B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  <w:lang w:val="en-US" w:eastAsia="zh-CN"/>
        </w:rPr>
        <w:t>六、</w:t>
      </w: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绿地与开敞空间规划</w:t>
      </w:r>
    </w:p>
    <w:p w14:paraId="6060783D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规划单元内绿地分为公园绿地、广场用地两种类型进行控制引导，均好布置各类公园绿地，打造具有特色的绿地景观。规划公园绿地77.20公顷、防护绿地0.35公顷、广场用地3.43公顷。规划综合公园1处，为玉龙湖公园。规划社区公园</w:t>
      </w:r>
      <w:r>
        <w:rPr>
          <w:color w:val="auto"/>
          <w:highlight w:val="none"/>
        </w:rPr>
        <w:t>3</w:t>
      </w:r>
      <w:r>
        <w:rPr>
          <w:rFonts w:hint="eastAsia"/>
          <w:color w:val="auto"/>
          <w:highlight w:val="none"/>
        </w:rPr>
        <w:t>处、专类公园1处，为城市居民提供便捷舒适的公共活动空间。</w:t>
      </w:r>
    </w:p>
    <w:p w14:paraId="6DDE5A91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  <w:lang w:val="en-US" w:eastAsia="zh-CN"/>
        </w:rPr>
        <w:t>七</w:t>
      </w: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、综合交通规划</w:t>
      </w:r>
    </w:p>
    <w:p w14:paraId="06455548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color w:val="auto"/>
          <w:highlight w:val="none"/>
        </w:rPr>
        <w:t>单元内道路系统由主干路、次干路和支路</w:t>
      </w:r>
      <w:r>
        <w:rPr>
          <w:rFonts w:hint="eastAsia"/>
          <w:color w:val="auto"/>
          <w:highlight w:val="none"/>
        </w:rPr>
        <w:t>三</w:t>
      </w:r>
      <w:r>
        <w:rPr>
          <w:color w:val="auto"/>
          <w:highlight w:val="none"/>
        </w:rPr>
        <w:t>个等级道路构成，</w:t>
      </w:r>
      <w:r>
        <w:rPr>
          <w:rFonts w:hint="eastAsia"/>
          <w:color w:val="auto"/>
          <w:highlight w:val="none"/>
        </w:rPr>
        <w:t>形成“五横六纵”的主次干路网体系</w:t>
      </w:r>
      <w:r>
        <w:rPr>
          <w:color w:val="auto"/>
          <w:highlight w:val="none"/>
        </w:rPr>
        <w:t>。</w:t>
      </w:r>
      <w:r>
        <w:rPr>
          <w:rFonts w:hint="eastAsia"/>
          <w:color w:val="auto"/>
          <w:highlight w:val="none"/>
        </w:rPr>
        <w:t>“五横”：汀旗路，红线宽度42米；旗山路，红线宽度32米；世纪路，红线宽度5</w:t>
      </w:r>
      <w:r>
        <w:rPr>
          <w:color w:val="auto"/>
          <w:highlight w:val="none"/>
        </w:rPr>
        <w:t>2</w:t>
      </w:r>
      <w:r>
        <w:rPr>
          <w:rFonts w:hint="eastAsia"/>
          <w:color w:val="auto"/>
          <w:highlight w:val="none"/>
        </w:rPr>
        <w:t>米；西大街，红线宽度2</w:t>
      </w:r>
      <w:r>
        <w:rPr>
          <w:color w:val="auto"/>
          <w:highlight w:val="none"/>
        </w:rPr>
        <w:t>4</w:t>
      </w:r>
      <w:r>
        <w:rPr>
          <w:rFonts w:hint="eastAsia"/>
          <w:color w:val="auto"/>
          <w:highlight w:val="none"/>
        </w:rPr>
        <w:t>米；公园路-南塘街-圈掌街，红线宽度28米。“六纵”：西河北路，红线宽度26米；旗山路，红线宽度32米；凤翔路，红线宽度32米；沧江路，红线宽度52米；南天路，红线宽度2</w:t>
      </w:r>
      <w:r>
        <w:rPr>
          <w:color w:val="auto"/>
          <w:highlight w:val="none"/>
        </w:rPr>
        <w:t>6</w:t>
      </w:r>
      <w:r>
        <w:rPr>
          <w:rFonts w:hint="eastAsia"/>
          <w:color w:val="auto"/>
          <w:highlight w:val="none"/>
        </w:rPr>
        <w:t>米；缅宁大道，红线宽度64米。</w:t>
      </w:r>
    </w:p>
    <w:p w14:paraId="78460FAF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  <w:lang w:val="en-US" w:eastAsia="zh-CN"/>
        </w:rPr>
        <w:t>八</w:t>
      </w: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、市政公用设施规划</w:t>
      </w:r>
    </w:p>
    <w:p w14:paraId="213DDCDB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单元内规划保留现状通信设施2处：临沧联通公司通讯用地，设施用地0.61公顷；临沧电信局通讯用地，设施用地1.3</w:t>
      </w:r>
      <w:r>
        <w:rPr>
          <w:rFonts w:hint="eastAsia"/>
          <w:color w:val="auto"/>
          <w:highlight w:val="none"/>
          <w:lang w:val="en-US" w:eastAsia="zh-CN"/>
        </w:rPr>
        <w:t>3</w:t>
      </w:r>
      <w:r>
        <w:rPr>
          <w:rFonts w:hint="eastAsia"/>
          <w:color w:val="auto"/>
          <w:highlight w:val="none"/>
        </w:rPr>
        <w:t>公顷。</w:t>
      </w:r>
      <w:bookmarkStart w:id="0" w:name="_GoBack"/>
      <w:bookmarkEnd w:id="0"/>
    </w:p>
    <w:p w14:paraId="24830A77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单元内共设置环卫设施1处。</w:t>
      </w:r>
    </w:p>
    <w:p w14:paraId="6B101C23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  <w:lang w:val="en-US" w:eastAsia="zh-CN"/>
        </w:rPr>
        <w:t>九</w:t>
      </w: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、综合防灾设施规划</w:t>
      </w:r>
    </w:p>
    <w:p w14:paraId="7BAA52F6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单元内设置保留原有一级消防站，用地规模0.57公顷。结合具备一定基础设施条件的公共建筑及公共场地设置8处应急避难场所。</w:t>
      </w:r>
    </w:p>
    <w:p w14:paraId="22453DBA">
      <w:pPr>
        <w:spacing w:line="540" w:lineRule="exact"/>
        <w:ind w:firstLine="640" w:firstLineChars="200"/>
        <w:rPr>
          <w:color w:val="auto"/>
          <w:highlight w:val="none"/>
        </w:rPr>
      </w:pPr>
    </w:p>
    <w:p w14:paraId="3742EF25">
      <w:pPr>
        <w:spacing w:line="540" w:lineRule="exact"/>
        <w:ind w:firstLine="640" w:firstLineChars="200"/>
        <w:rPr>
          <w:rFonts w:hint="eastAsia"/>
          <w:color w:val="auto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ExNmZmOGJjMGJkYTIxYzNiZjgyZGE2MjZlZmVjMjMifQ=="/>
  </w:docVars>
  <w:rsids>
    <w:rsidRoot w:val="3BCB683D"/>
    <w:rsid w:val="000122BB"/>
    <w:rsid w:val="000148A5"/>
    <w:rsid w:val="00105758"/>
    <w:rsid w:val="00172006"/>
    <w:rsid w:val="0017667B"/>
    <w:rsid w:val="002462F6"/>
    <w:rsid w:val="0026169C"/>
    <w:rsid w:val="0028751A"/>
    <w:rsid w:val="002F77A6"/>
    <w:rsid w:val="003B0CDB"/>
    <w:rsid w:val="00467A84"/>
    <w:rsid w:val="00492519"/>
    <w:rsid w:val="004B6FFE"/>
    <w:rsid w:val="004B7879"/>
    <w:rsid w:val="005C0602"/>
    <w:rsid w:val="005C32D7"/>
    <w:rsid w:val="005D7415"/>
    <w:rsid w:val="005F1FF2"/>
    <w:rsid w:val="00666BDA"/>
    <w:rsid w:val="006712AF"/>
    <w:rsid w:val="006C0534"/>
    <w:rsid w:val="006C4189"/>
    <w:rsid w:val="006C7C67"/>
    <w:rsid w:val="00855632"/>
    <w:rsid w:val="00855D13"/>
    <w:rsid w:val="0085673D"/>
    <w:rsid w:val="008848B0"/>
    <w:rsid w:val="0088673A"/>
    <w:rsid w:val="008B49A6"/>
    <w:rsid w:val="008C7623"/>
    <w:rsid w:val="008E0734"/>
    <w:rsid w:val="00906C87"/>
    <w:rsid w:val="009F2DCA"/>
    <w:rsid w:val="009F706A"/>
    <w:rsid w:val="00A05034"/>
    <w:rsid w:val="00A964B2"/>
    <w:rsid w:val="00AB4F65"/>
    <w:rsid w:val="00AD1A79"/>
    <w:rsid w:val="00B23A39"/>
    <w:rsid w:val="00B32164"/>
    <w:rsid w:val="00B6311E"/>
    <w:rsid w:val="00BD2F37"/>
    <w:rsid w:val="00C408FE"/>
    <w:rsid w:val="00C75E1D"/>
    <w:rsid w:val="00C877E5"/>
    <w:rsid w:val="00CB1C2C"/>
    <w:rsid w:val="00D66996"/>
    <w:rsid w:val="00DF4106"/>
    <w:rsid w:val="00E04929"/>
    <w:rsid w:val="00E64260"/>
    <w:rsid w:val="00E84B1D"/>
    <w:rsid w:val="00EF5035"/>
    <w:rsid w:val="00F152BD"/>
    <w:rsid w:val="00FC7571"/>
    <w:rsid w:val="07532925"/>
    <w:rsid w:val="144F607E"/>
    <w:rsid w:val="177507B0"/>
    <w:rsid w:val="1B440E1E"/>
    <w:rsid w:val="24644C1E"/>
    <w:rsid w:val="26B26A49"/>
    <w:rsid w:val="2A727C33"/>
    <w:rsid w:val="3004253F"/>
    <w:rsid w:val="3378B11C"/>
    <w:rsid w:val="356006B1"/>
    <w:rsid w:val="35F5126F"/>
    <w:rsid w:val="3BCB683D"/>
    <w:rsid w:val="3D7EB1D0"/>
    <w:rsid w:val="42407E9D"/>
    <w:rsid w:val="4427146F"/>
    <w:rsid w:val="4FD69422"/>
    <w:rsid w:val="52F833D7"/>
    <w:rsid w:val="5FDA4CAE"/>
    <w:rsid w:val="638FC954"/>
    <w:rsid w:val="65AF55F0"/>
    <w:rsid w:val="6C16477E"/>
    <w:rsid w:val="767F6880"/>
    <w:rsid w:val="79A460E1"/>
    <w:rsid w:val="7B9F39CA"/>
    <w:rsid w:val="7BFF3463"/>
    <w:rsid w:val="7D3849C6"/>
    <w:rsid w:val="7D6F2FD7"/>
    <w:rsid w:val="7DFF6ED2"/>
    <w:rsid w:val="7F6F7F3B"/>
    <w:rsid w:val="7FFFF612"/>
    <w:rsid w:val="8B7D6470"/>
    <w:rsid w:val="CF9B79CD"/>
    <w:rsid w:val="D4EC2D7C"/>
    <w:rsid w:val="E1F7F2E7"/>
    <w:rsid w:val="EBAF10FB"/>
    <w:rsid w:val="F7AB4F06"/>
    <w:rsid w:val="FBFDDC82"/>
    <w:rsid w:val="FD369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customStyle="1" w:styleId="7">
    <w:name w:val="UserStyle_0"/>
    <w:basedOn w:val="1"/>
    <w:next w:val="1"/>
    <w:qFormat/>
    <w:uiPriority w:val="0"/>
    <w:pPr>
      <w:spacing w:beforeAutospacing="1" w:afterAutospacing="1"/>
      <w:jc w:val="left"/>
    </w:pPr>
    <w:rPr>
      <w:kern w:val="44"/>
      <w:szCs w:val="48"/>
    </w:rPr>
  </w:style>
  <w:style w:type="character" w:customStyle="1" w:styleId="8">
    <w:name w:val="页眉 字符"/>
    <w:basedOn w:val="6"/>
    <w:link w:val="3"/>
    <w:qFormat/>
    <w:uiPriority w:val="0"/>
    <w:rPr>
      <w:rFonts w:ascii="Times New Roman" w:hAnsi="Times New Roman" w:eastAsia="方正仿宋_GBK"/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uiPriority w:val="0"/>
    <w:rPr>
      <w:rFonts w:ascii="Times New Roman" w:hAnsi="Times New Roman" w:eastAsia="方正仿宋_GBK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1494</Words>
  <Characters>1633</Characters>
  <Lines>13</Lines>
  <Paragraphs>3</Paragraphs>
  <TotalTime>0</TotalTime>
  <ScaleCrop>false</ScaleCrop>
  <LinksUpToDate>false</LinksUpToDate>
  <CharactersWithSpaces>1633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2024-07-13T06:46:00Z</dcterms:created>
  <dc:creator>qjzrzy</dc:creator>
  <cp:lastModifiedBy>peach</cp:lastModifiedBy>
  <dcterms:modified xsi:type="dcterms:W3CDTF">2024-10-18T08:01:58Z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32551054597243769B37AA3316D9BDF9_13</vt:lpwstr>
  </property>
</Properties>
</file>