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临沧火车站地区</w:t>
      </w:r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临沧市临翔区</w:t>
      </w:r>
      <w:r>
        <w:rPr>
          <w:rFonts w:hint="eastAsia"/>
          <w:color w:val="auto"/>
          <w:highlight w:val="none"/>
        </w:rPr>
        <w:t>，西至</w:t>
      </w:r>
      <w:r>
        <w:rPr>
          <w:rFonts w:hint="eastAsia"/>
          <w:color w:val="auto"/>
          <w:highlight w:val="none"/>
          <w:lang w:val="en-US" w:eastAsia="zh-CN"/>
        </w:rPr>
        <w:t>缅宁大道</w:t>
      </w:r>
      <w:r>
        <w:rPr>
          <w:rFonts w:hint="eastAsia"/>
          <w:color w:val="auto"/>
          <w:highlight w:val="none"/>
        </w:rPr>
        <w:t>，南至</w:t>
      </w:r>
      <w:r>
        <w:rPr>
          <w:rFonts w:hint="eastAsia"/>
          <w:color w:val="auto"/>
          <w:highlight w:val="none"/>
          <w:lang w:val="en-US" w:eastAsia="zh-CN"/>
        </w:rPr>
        <w:t>太华路、东二环</w:t>
      </w:r>
      <w:r>
        <w:rPr>
          <w:rFonts w:hint="eastAsia"/>
          <w:color w:val="auto"/>
          <w:highlight w:val="none"/>
        </w:rPr>
        <w:t>，东至</w:t>
      </w:r>
      <w:r>
        <w:rPr>
          <w:rFonts w:hint="eastAsia"/>
          <w:color w:val="auto"/>
          <w:highlight w:val="none"/>
          <w:lang w:val="en-US" w:eastAsia="zh-CN"/>
        </w:rPr>
        <w:t>中心城区东侧范围线</w:t>
      </w:r>
      <w:r>
        <w:rPr>
          <w:rFonts w:hint="eastAsia"/>
          <w:color w:val="auto"/>
          <w:highlight w:val="none"/>
        </w:rPr>
        <w:t>，北至</w:t>
      </w:r>
      <w:r>
        <w:rPr>
          <w:rFonts w:hint="eastAsia"/>
          <w:color w:val="auto"/>
          <w:highlight w:val="none"/>
          <w:lang w:val="en-US" w:eastAsia="zh-CN"/>
        </w:rPr>
        <w:t>高速连接线</w:t>
      </w:r>
      <w:r>
        <w:rPr>
          <w:rFonts w:hint="eastAsia"/>
          <w:color w:val="auto"/>
          <w:highlight w:val="none"/>
        </w:rPr>
        <w:t>，单元编码为530902002010002。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23489844">
      <w:pPr>
        <w:spacing w:line="540" w:lineRule="exact"/>
        <w:ind w:firstLine="640" w:firstLineChars="200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</w:rPr>
        <w:t>本单元目标定位为：</w:t>
      </w:r>
      <w:r>
        <w:rPr>
          <w:rFonts w:hint="eastAsia"/>
          <w:color w:val="auto"/>
          <w:highlight w:val="none"/>
          <w:lang w:val="en-US" w:eastAsia="zh-CN"/>
        </w:rPr>
        <w:t>临沧市中心城区北部的城市门户地区、站前商贸服务中心。</w:t>
      </w:r>
      <w:r>
        <w:rPr>
          <w:rFonts w:hint="eastAsia"/>
          <w:color w:val="auto"/>
          <w:highlight w:val="none"/>
        </w:rPr>
        <w:t>本单元作为</w:t>
      </w:r>
      <w:r>
        <w:rPr>
          <w:rFonts w:hint="eastAsia"/>
          <w:color w:val="auto"/>
          <w:highlight w:val="none"/>
          <w:lang w:val="en-US" w:eastAsia="zh-CN"/>
        </w:rPr>
        <w:t>临沧市中心城区的北部门户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以交通枢纽、物流产业、商贸服务为主导功能，同时配建居住和生活服务功能。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32FDFBAB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本单元常住人口2.</w:t>
      </w:r>
      <w:r>
        <w:rPr>
          <w:color w:val="auto"/>
          <w:highlight w:val="none"/>
        </w:rPr>
        <w:t>0</w:t>
      </w:r>
      <w:r>
        <w:rPr>
          <w:rFonts w:hint="eastAsia"/>
          <w:color w:val="auto"/>
          <w:highlight w:val="none"/>
        </w:rPr>
        <w:t>万人，单元面积</w:t>
      </w:r>
      <w:r>
        <w:rPr>
          <w:color w:val="auto"/>
          <w:highlight w:val="none"/>
        </w:rPr>
        <w:t>569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2</w:t>
      </w:r>
      <w:r>
        <w:rPr>
          <w:rFonts w:hint="eastAsia"/>
          <w:color w:val="auto"/>
          <w:highlight w:val="none"/>
        </w:rPr>
        <w:t>7公顷。城镇开发边界内建设用地规模444.67公顷。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</w:t>
      </w:r>
      <w:r>
        <w:rPr>
          <w:rFonts w:hint="eastAsia"/>
          <w:color w:val="auto"/>
          <w:highlight w:val="none"/>
        </w:rPr>
        <w:t>40.78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商住混合用地</w:t>
      </w:r>
      <w:r>
        <w:rPr>
          <w:rFonts w:hint="eastAsia"/>
          <w:color w:val="auto"/>
          <w:highlight w:val="none"/>
        </w:rPr>
        <w:t>21.28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9.20公顷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64.85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工矿用地33.89公顷，仓储用地70.53公顷，</w:t>
      </w:r>
      <w:r>
        <w:rPr>
          <w:color w:val="auto"/>
          <w:highlight w:val="none"/>
        </w:rPr>
        <w:t>交通运输用地</w:t>
      </w:r>
      <w:r>
        <w:rPr>
          <w:rFonts w:hint="eastAsia"/>
          <w:color w:val="auto"/>
          <w:highlight w:val="none"/>
        </w:rPr>
        <w:t>120.57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公用设施用地2.86公顷，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80.72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54BF9FB4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本单元涉及城镇开发边界444.67公顷，永久基本农田0.6公顷，不涉及生态保护红线。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根据“15分钟—5-10分钟”社区生活圈的布局和配置要求，本单元共划分为本单元共划分为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个15分钟社区生活圈，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个5-10分钟社区生活圈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  <w:lang w:val="en-US" w:eastAsia="zh-CN"/>
        </w:rPr>
        <w:t>设置15分钟社区行政管理设施1处，为社区综合服务中心，用地面积0.36公顷；</w:t>
      </w:r>
      <w:r>
        <w:rPr>
          <w:rFonts w:hint="eastAsia"/>
          <w:color w:val="auto"/>
          <w:highlight w:val="none"/>
        </w:rPr>
        <w:t>规划非独立占地</w:t>
      </w:r>
      <w:r>
        <w:rPr>
          <w:rFonts w:hint="eastAsia"/>
          <w:color w:val="auto"/>
          <w:highlight w:val="none"/>
          <w:lang w:val="en-US" w:eastAsia="zh-CN"/>
        </w:rPr>
        <w:t>社区服务站2处</w:t>
      </w:r>
      <w:r>
        <w:rPr>
          <w:rFonts w:hint="eastAsia"/>
          <w:color w:val="auto"/>
          <w:highlight w:val="none"/>
        </w:rPr>
        <w:t>，分别配置</w:t>
      </w:r>
      <w:r>
        <w:rPr>
          <w:rFonts w:hint="eastAsia"/>
          <w:color w:val="auto"/>
          <w:highlight w:val="none"/>
          <w:lang w:val="en-US" w:eastAsia="zh-CN"/>
        </w:rPr>
        <w:t>5-10分钟社区</w:t>
      </w:r>
      <w:r>
        <w:rPr>
          <w:rFonts w:hint="eastAsia"/>
          <w:color w:val="auto"/>
          <w:highlight w:val="none"/>
        </w:rPr>
        <w:t>文化、体育、医疗、养老设施。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单元内规划形成1所</w:t>
      </w:r>
      <w:r>
        <w:rPr>
          <w:rFonts w:hint="eastAsia"/>
          <w:color w:val="auto"/>
          <w:highlight w:val="none"/>
          <w:lang w:val="en-US" w:eastAsia="zh-CN"/>
        </w:rPr>
        <w:t>九年一贯制学校</w:t>
      </w:r>
      <w:r>
        <w:rPr>
          <w:rFonts w:hint="eastAsia"/>
          <w:color w:val="auto"/>
          <w:highlight w:val="none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所小学、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处配建幼儿园，规划教育设施用地面积</w:t>
      </w:r>
      <w:r>
        <w:rPr>
          <w:rFonts w:hint="eastAsia"/>
          <w:color w:val="auto"/>
          <w:highlight w:val="none"/>
          <w:lang w:val="en-US" w:eastAsia="zh-CN"/>
        </w:rPr>
        <w:t>6.37</w:t>
      </w:r>
      <w:r>
        <w:rPr>
          <w:rFonts w:hint="eastAsia"/>
          <w:color w:val="auto"/>
          <w:highlight w:val="none"/>
        </w:rPr>
        <w:t>公项。其中，保留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6</w:t>
      </w:r>
      <w:r>
        <w:rPr>
          <w:rFonts w:hint="eastAsia"/>
          <w:color w:val="auto"/>
          <w:highlight w:val="none"/>
        </w:rPr>
        <w:t>班小学；规划新增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48</w:t>
      </w:r>
      <w:r>
        <w:rPr>
          <w:rFonts w:hint="eastAsia"/>
          <w:color w:val="auto"/>
          <w:highlight w:val="none"/>
        </w:rPr>
        <w:t>班</w:t>
      </w:r>
      <w:r>
        <w:rPr>
          <w:rFonts w:hint="eastAsia"/>
          <w:color w:val="auto"/>
          <w:highlight w:val="none"/>
          <w:lang w:val="en-US" w:eastAsia="zh-CN"/>
        </w:rPr>
        <w:t>九年一贯制学校</w:t>
      </w:r>
      <w:r>
        <w:rPr>
          <w:rFonts w:hint="eastAsia"/>
          <w:color w:val="auto"/>
          <w:highlight w:val="none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24班小学</w:t>
      </w:r>
      <w:r>
        <w:rPr>
          <w:rFonts w:hint="eastAsia"/>
          <w:color w:val="auto"/>
          <w:highlight w:val="none"/>
        </w:rPr>
        <w:t>、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处配建幼儿园。幼儿园、小学、初中班级数余量可为周边单元服务。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按照“15分钟—5-10分钟”社区生活圈布局社区医疗卫生设施，设置15分钟医疗卫生设施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卫生服务中心，用地面积</w:t>
      </w:r>
      <w:r>
        <w:rPr>
          <w:rFonts w:hint="eastAsia"/>
          <w:color w:val="auto"/>
          <w:highlight w:val="none"/>
          <w:lang w:val="en-US" w:eastAsia="zh-CN"/>
        </w:rPr>
        <w:t>0.54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处社区卫生服务站。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按照“15分钟—5-10分钟”社区生活圈布局社区文化设施，设置15分钟文化设施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文化活动中心，用地面积</w:t>
      </w:r>
      <w:r>
        <w:rPr>
          <w:rFonts w:hint="eastAsia"/>
          <w:color w:val="auto"/>
          <w:highlight w:val="none"/>
          <w:lang w:val="en-US" w:eastAsia="zh-CN"/>
        </w:rPr>
        <w:t>0.36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处文化服务站。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规划设置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多功能运动场地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处，独立占地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处，用地面积</w:t>
      </w:r>
      <w:r>
        <w:rPr>
          <w:rFonts w:hint="eastAsia"/>
          <w:color w:val="auto"/>
          <w:highlight w:val="none"/>
          <w:lang w:val="en-US" w:eastAsia="zh-CN"/>
        </w:rPr>
        <w:t>0.38</w:t>
      </w:r>
      <w:r>
        <w:rPr>
          <w:rFonts w:hint="eastAsia"/>
          <w:color w:val="auto"/>
          <w:highlight w:val="none"/>
        </w:rPr>
        <w:t>公顷</w:t>
      </w:r>
      <w:r>
        <w:rPr>
          <w:rFonts w:hint="eastAsia"/>
          <w:color w:val="auto"/>
          <w:highlight w:val="none"/>
          <w:lang w:eastAsia="zh-CN"/>
        </w:rPr>
        <w:t>。</w:t>
      </w:r>
      <w:r>
        <w:rPr>
          <w:rFonts w:hint="eastAsia"/>
          <w:color w:val="auto"/>
          <w:highlight w:val="none"/>
        </w:rPr>
        <w:t>结合绿地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</w:t>
      </w:r>
      <w:r>
        <w:rPr>
          <w:rFonts w:hint="eastAsia"/>
          <w:color w:val="auto"/>
          <w:highlight w:val="none"/>
          <w:lang w:val="en-US" w:eastAsia="zh-CN"/>
        </w:rPr>
        <w:t>中</w:t>
      </w:r>
      <w:r>
        <w:rPr>
          <w:rFonts w:hint="eastAsia"/>
          <w:color w:val="auto"/>
          <w:highlight w:val="none"/>
        </w:rPr>
        <w:t>小型多功能运动场地。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3A9F9B8B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按照“15分钟—5-10分钟”社区生活圈布局社会福利设施，设置15分钟社会福利设施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</w:rPr>
        <w:t>处，为</w:t>
      </w:r>
      <w:r>
        <w:rPr>
          <w:rFonts w:hint="eastAsia"/>
          <w:color w:val="auto"/>
          <w:highlight w:val="none"/>
          <w:lang w:val="en-US" w:eastAsia="zh-CN"/>
        </w:rPr>
        <w:t>社区</w:t>
      </w:r>
      <w:r>
        <w:rPr>
          <w:rFonts w:hint="eastAsia"/>
          <w:color w:val="auto"/>
          <w:highlight w:val="none"/>
        </w:rPr>
        <w:t>老年人服务中心，用地面积</w:t>
      </w:r>
      <w:r>
        <w:rPr>
          <w:rFonts w:hint="eastAsia"/>
          <w:color w:val="auto"/>
          <w:highlight w:val="none"/>
          <w:lang w:val="en-US" w:eastAsia="zh-CN"/>
        </w:rPr>
        <w:t>0.78</w:t>
      </w:r>
      <w:r>
        <w:rPr>
          <w:rFonts w:hint="eastAsia"/>
          <w:color w:val="auto"/>
          <w:highlight w:val="none"/>
        </w:rPr>
        <w:t>公顷。结合社区服务站，设置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处老年人日间照料中心。</w:t>
      </w:r>
    </w:p>
    <w:p w14:paraId="6A1DE73B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六、绿地与开敞空间规划</w:t>
      </w:r>
    </w:p>
    <w:p w14:paraId="62956D6D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</w:t>
      </w:r>
      <w:r>
        <w:rPr>
          <w:color w:val="auto"/>
          <w:highlight w:val="none"/>
        </w:rPr>
        <w:t>3</w:t>
      </w:r>
      <w:r>
        <w:rPr>
          <w:rFonts w:hint="eastAsia"/>
          <w:color w:val="auto"/>
          <w:highlight w:val="none"/>
        </w:rPr>
        <w:t>4.47公顷、防护绿地41.84公顷、广场用地4.44公顷。规划社区公园1处，为城市居民提供便捷舒适的公共活动空间。</w:t>
      </w:r>
    </w:p>
    <w:p w14:paraId="6DDE5A9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七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、综合交通规划</w:t>
      </w:r>
    </w:p>
    <w:p w14:paraId="637E71D9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color w:val="auto"/>
          <w:highlight w:val="none"/>
        </w:rPr>
        <w:t>单元内道路系统由主干路、次干路和支路</w:t>
      </w:r>
      <w:r>
        <w:rPr>
          <w:rFonts w:hint="eastAsia"/>
          <w:color w:val="auto"/>
          <w:highlight w:val="none"/>
        </w:rPr>
        <w:t>三</w:t>
      </w:r>
      <w:r>
        <w:rPr>
          <w:color w:val="auto"/>
          <w:highlight w:val="none"/>
        </w:rPr>
        <w:t>个等级道路构成，</w:t>
      </w:r>
      <w:r>
        <w:rPr>
          <w:rFonts w:hint="eastAsia"/>
          <w:color w:val="auto"/>
          <w:highlight w:val="none"/>
        </w:rPr>
        <w:t>形成“五横四纵”的主次干路网体系</w:t>
      </w:r>
      <w:r>
        <w:rPr>
          <w:color w:val="auto"/>
          <w:highlight w:val="none"/>
        </w:rPr>
        <w:t>。</w:t>
      </w:r>
      <w:r>
        <w:rPr>
          <w:rFonts w:hint="eastAsia"/>
          <w:color w:val="auto"/>
          <w:highlight w:val="none"/>
        </w:rPr>
        <w:t>“五横”：高速连接线，红线宽度16米；东三号路，红线宽度30米；昔归路，红线宽度30米；太华路，红线宽度30米；货场横路，红线宽度30米。“四纵”：缅宁大道，红线宽度61米；东一街，红线宽度24米；锦绣大道，红线宽度36米；外环东路，红线宽度36米。</w:t>
      </w:r>
    </w:p>
    <w:p w14:paraId="78460FAF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八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、市政公用设施规划</w:t>
      </w:r>
    </w:p>
    <w:p w14:paraId="53DCA06F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规划新建火车站片区供水厂，设计规模1.0万立方米/日，占地面积1.64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。一处供水设施用地，设施用地0.16公顷。</w:t>
      </w:r>
    </w:p>
    <w:p w14:paraId="3EAFE4C5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单元内规划预留新建变配电设施1处：110kV火车站变电站，设施用地0.67公顷。单元内规划保留现状通信设施1处：文伟片区通讯所通讯用地，设施用地0.32公顷。</w:t>
      </w:r>
    </w:p>
    <w:p w14:paraId="3AA8C5F1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单元内共设置环卫设施2处。</w:t>
      </w:r>
    </w:p>
    <w:p w14:paraId="6B101C23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九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、综合防灾设施规划</w:t>
      </w:r>
    </w:p>
    <w:p w14:paraId="1D0955E8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单元内设置一处一级消防站，用地规模0.79公顷。结合具备一定基础设施条件的公共建筑及公共场地设置5处应急避难场所。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xNmZmOGJjMGJkYTIxYzNiZjgyZGE2MjZlZmVjMjM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F4106"/>
    <w:rsid w:val="00E04929"/>
    <w:rsid w:val="00E64260"/>
    <w:rsid w:val="00E84B1D"/>
    <w:rsid w:val="00EF5035"/>
    <w:rsid w:val="00F152BD"/>
    <w:rsid w:val="00FC7571"/>
    <w:rsid w:val="02F926E6"/>
    <w:rsid w:val="067B7817"/>
    <w:rsid w:val="0D5B4111"/>
    <w:rsid w:val="0F602D4B"/>
    <w:rsid w:val="20096599"/>
    <w:rsid w:val="2BAF11AA"/>
    <w:rsid w:val="2F451EBC"/>
    <w:rsid w:val="32951856"/>
    <w:rsid w:val="3378B11C"/>
    <w:rsid w:val="34281E81"/>
    <w:rsid w:val="36D34CC4"/>
    <w:rsid w:val="3B255741"/>
    <w:rsid w:val="3BCB683D"/>
    <w:rsid w:val="3D764200"/>
    <w:rsid w:val="3D7EB1D0"/>
    <w:rsid w:val="40874EC0"/>
    <w:rsid w:val="428F785A"/>
    <w:rsid w:val="4FD69422"/>
    <w:rsid w:val="5FDA4CAE"/>
    <w:rsid w:val="638FC954"/>
    <w:rsid w:val="65AF55F0"/>
    <w:rsid w:val="675F0FB8"/>
    <w:rsid w:val="74593F4A"/>
    <w:rsid w:val="767F6880"/>
    <w:rsid w:val="7B5754EB"/>
    <w:rsid w:val="7B9F39CA"/>
    <w:rsid w:val="7BFF3463"/>
    <w:rsid w:val="7D6F2FD7"/>
    <w:rsid w:val="7DFF6ED2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1444</Words>
  <Characters>1600</Characters>
  <Lines>13</Lines>
  <Paragraphs>3</Paragraphs>
  <TotalTime>0</TotalTime>
  <ScaleCrop>false</ScaleCrop>
  <LinksUpToDate>false</LinksUpToDate>
  <CharactersWithSpaces>1600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peach</cp:lastModifiedBy>
  <dcterms:modified xsi:type="dcterms:W3CDTF">2024-10-18T08:04:51Z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11709E4F11A14EF0929FE920D74A42EC_13</vt:lpwstr>
  </property>
</Properties>
</file>