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886"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97"/>
        <w:gridCol w:w="597"/>
        <w:gridCol w:w="597"/>
        <w:gridCol w:w="1955"/>
        <w:gridCol w:w="1675"/>
        <w:gridCol w:w="2053"/>
        <w:gridCol w:w="1498"/>
        <w:gridCol w:w="478"/>
        <w:gridCol w:w="478"/>
        <w:gridCol w:w="479"/>
        <w:gridCol w:w="47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730" w:hRule="atLeast"/>
          <w:jc w:val="center"/>
        </w:trPr>
        <w:tc>
          <w:tcPr>
            <w:tcW w:w="454" w:type="dxa"/>
            <w:gridSpan w:val="11"/>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sz w:val="21"/>
                <w:szCs w:val="21"/>
              </w:rPr>
            </w:pPr>
            <w:r>
              <w:rPr>
                <w:rFonts w:ascii="方正小标宋_GBK" w:hAnsi="方正小标宋_GBK" w:eastAsia="方正小标宋_GBK" w:cs="方正小标宋_GBK"/>
                <w:b w:val="0"/>
                <w:bCs w:val="0"/>
                <w:i w:val="0"/>
                <w:iCs w:val="0"/>
                <w:caps w:val="0"/>
                <w:color w:val="000000"/>
                <w:spacing w:val="0"/>
                <w:kern w:val="0"/>
                <w:sz w:val="36"/>
                <w:szCs w:val="36"/>
                <w:lang w:val="en-US" w:eastAsia="zh-CN" w:bidi="ar"/>
              </w:rPr>
              <w:t>临沧市</w:t>
            </w:r>
            <w:r>
              <w:rPr>
                <w:rFonts w:hint="eastAsia" w:ascii="方正小标宋_GBK" w:hAnsi="方正小标宋_GBK" w:eastAsia="方正小标宋_GBK" w:cs="方正小标宋_GBK"/>
                <w:b w:val="0"/>
                <w:bCs w:val="0"/>
                <w:i w:val="0"/>
                <w:iCs w:val="0"/>
                <w:caps w:val="0"/>
                <w:color w:val="000000"/>
                <w:spacing w:val="0"/>
                <w:kern w:val="0"/>
                <w:sz w:val="36"/>
                <w:szCs w:val="36"/>
                <w:lang w:val="en-US" w:eastAsia="zh-CN" w:bidi="ar"/>
              </w:rPr>
              <w:t>临翔区</w:t>
            </w:r>
            <w:r>
              <w:rPr>
                <w:rFonts w:ascii="方正小标宋_GBK" w:hAnsi="方正小标宋_GBK" w:eastAsia="方正小标宋_GBK" w:cs="方正小标宋_GBK"/>
                <w:b w:val="0"/>
                <w:bCs w:val="0"/>
                <w:i w:val="0"/>
                <w:iCs w:val="0"/>
                <w:caps w:val="0"/>
                <w:color w:val="000000"/>
                <w:spacing w:val="0"/>
                <w:kern w:val="0"/>
                <w:sz w:val="36"/>
                <w:szCs w:val="36"/>
                <w:lang w:val="en-US" w:eastAsia="zh-CN" w:bidi="ar"/>
              </w:rPr>
              <w:t>退役军人事务局政府信息公开基本目录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67" w:type="dxa"/>
            <w:vMerge w:val="restart"/>
            <w:tcBorders>
              <w:top w:val="single" w:color="000000" w:sz="6"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sz w:val="20"/>
                <w:szCs w:val="20"/>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序号</w:t>
            </w:r>
          </w:p>
        </w:tc>
        <w:tc>
          <w:tcPr>
            <w:tcW w:w="567"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sz w:val="20"/>
                <w:szCs w:val="20"/>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公开事项</w:t>
            </w:r>
          </w:p>
        </w:tc>
        <w:tc>
          <w:tcPr>
            <w:tcW w:w="185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sz w:val="20"/>
                <w:szCs w:val="20"/>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公开内容</w:t>
            </w:r>
          </w:p>
        </w:tc>
        <w:tc>
          <w:tcPr>
            <w:tcW w:w="159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sz w:val="20"/>
                <w:szCs w:val="20"/>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公开依据</w:t>
            </w:r>
          </w:p>
        </w:tc>
        <w:tc>
          <w:tcPr>
            <w:tcW w:w="19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sz w:val="20"/>
                <w:szCs w:val="20"/>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公开时限</w:t>
            </w:r>
          </w:p>
        </w:tc>
        <w:tc>
          <w:tcPr>
            <w:tcW w:w="142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sz w:val="20"/>
                <w:szCs w:val="20"/>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公开渠道和载体</w:t>
            </w:r>
          </w:p>
        </w:tc>
        <w:tc>
          <w:tcPr>
            <w:tcW w:w="454"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sz w:val="20"/>
                <w:szCs w:val="20"/>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公开对象</w:t>
            </w:r>
          </w:p>
        </w:tc>
        <w:tc>
          <w:tcPr>
            <w:tcW w:w="454"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sz w:val="20"/>
                <w:szCs w:val="20"/>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567" w:type="dxa"/>
            <w:vMerge w:val="continue"/>
            <w:tcBorders>
              <w:top w:val="single" w:color="000000" w:sz="6"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default" w:ascii="Times New Roman" w:hAnsi="Times New Roman" w:cs="Times New Roman"/>
                <w:i w:val="0"/>
                <w:iCs w:val="0"/>
                <w:caps w:val="0"/>
                <w:color w:val="000000"/>
                <w:spacing w:val="0"/>
                <w:sz w:val="20"/>
                <w:szCs w:val="20"/>
              </w:rPr>
            </w:pPr>
          </w:p>
        </w:tc>
        <w:tc>
          <w:tcPr>
            <w:tcW w:w="56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default" w:ascii="Times New Roman" w:hAnsi="Times New Roman" w:cs="Times New Roman"/>
                <w:i w:val="0"/>
                <w:iCs w:val="0"/>
                <w:caps w:val="0"/>
                <w:color w:val="000000"/>
                <w:spacing w:val="0"/>
                <w:sz w:val="20"/>
                <w:szCs w:val="20"/>
              </w:rPr>
            </w:pPr>
          </w:p>
        </w:tc>
        <w:tc>
          <w:tcPr>
            <w:tcW w:w="185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default" w:ascii="Times New Roman" w:hAnsi="Times New Roman" w:cs="Times New Roman"/>
                <w:i w:val="0"/>
                <w:iCs w:val="0"/>
                <w:caps w:val="0"/>
                <w:color w:val="000000"/>
                <w:spacing w:val="0"/>
                <w:sz w:val="20"/>
                <w:szCs w:val="20"/>
              </w:rPr>
            </w:pPr>
          </w:p>
        </w:tc>
        <w:tc>
          <w:tcPr>
            <w:tcW w:w="1591"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default" w:ascii="Times New Roman" w:hAnsi="Times New Roman" w:cs="Times New Roman"/>
                <w:i w:val="0"/>
                <w:iCs w:val="0"/>
                <w:caps w:val="0"/>
                <w:color w:val="000000"/>
                <w:spacing w:val="0"/>
                <w:sz w:val="20"/>
                <w:szCs w:val="20"/>
              </w:rPr>
            </w:pPr>
          </w:p>
        </w:tc>
        <w:tc>
          <w:tcPr>
            <w:tcW w:w="195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default" w:ascii="Times New Roman" w:hAnsi="Times New Roman" w:cs="Times New Roman"/>
                <w:i w:val="0"/>
                <w:iCs w:val="0"/>
                <w:caps w:val="0"/>
                <w:color w:val="000000"/>
                <w:spacing w:val="0"/>
                <w:sz w:val="20"/>
                <w:szCs w:val="20"/>
              </w:rPr>
            </w:pPr>
          </w:p>
        </w:tc>
        <w:tc>
          <w:tcPr>
            <w:tcW w:w="142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default" w:ascii="Times New Roman" w:hAnsi="Times New Roman" w:cs="Times New Roman"/>
                <w:i w:val="0"/>
                <w:iCs w:val="0"/>
                <w:caps w:val="0"/>
                <w:color w:val="000000"/>
                <w:spacing w:val="0"/>
                <w:sz w:val="20"/>
                <w:szCs w:val="20"/>
              </w:rPr>
            </w:pPr>
          </w:p>
        </w:tc>
        <w:tc>
          <w:tcPr>
            <w:tcW w:w="45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default" w:ascii="Times New Roman" w:hAnsi="Times New Roman" w:cs="Times New Roman"/>
                <w:i w:val="0"/>
                <w:iCs w:val="0"/>
                <w:caps w:val="0"/>
                <w:color w:val="000000"/>
                <w:spacing w:val="0"/>
                <w:sz w:val="20"/>
                <w:szCs w:val="20"/>
              </w:rPr>
            </w:pPr>
          </w:p>
        </w:tc>
        <w:tc>
          <w:tcPr>
            <w:tcW w:w="45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default" w:ascii="Times New Roman" w:hAnsi="Times New Roman" w:cs="Times New Roman"/>
                <w:i w:val="0"/>
                <w:iCs w:val="0"/>
                <w:caps w:val="0"/>
                <w:color w:val="000000"/>
                <w:spacing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567" w:type="dxa"/>
            <w:vMerge w:val="continue"/>
            <w:tcBorders>
              <w:top w:val="single" w:color="000000" w:sz="6"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default" w:ascii="Times New Roman" w:hAnsi="Times New Roman" w:cs="Times New Roman"/>
                <w:i w:val="0"/>
                <w:iCs w:val="0"/>
                <w:caps w:val="0"/>
                <w:color w:val="000000"/>
                <w:spacing w:val="0"/>
                <w:sz w:val="20"/>
                <w:szCs w:val="20"/>
              </w:rPr>
            </w:pPr>
          </w:p>
        </w:tc>
        <w:tc>
          <w:tcPr>
            <w:tcW w:w="5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一级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sz w:val="20"/>
                <w:szCs w:val="20"/>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事项</w:t>
            </w:r>
          </w:p>
        </w:tc>
        <w:tc>
          <w:tcPr>
            <w:tcW w:w="5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二级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sz w:val="20"/>
                <w:szCs w:val="20"/>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事项</w:t>
            </w:r>
          </w:p>
        </w:tc>
        <w:tc>
          <w:tcPr>
            <w:tcW w:w="185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default" w:ascii="Times New Roman" w:hAnsi="Times New Roman" w:cs="Times New Roman"/>
                <w:i w:val="0"/>
                <w:iCs w:val="0"/>
                <w:caps w:val="0"/>
                <w:color w:val="000000"/>
                <w:spacing w:val="0"/>
                <w:sz w:val="20"/>
                <w:szCs w:val="20"/>
              </w:rPr>
            </w:pPr>
          </w:p>
        </w:tc>
        <w:tc>
          <w:tcPr>
            <w:tcW w:w="1591"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default" w:ascii="Times New Roman" w:hAnsi="Times New Roman" w:cs="Times New Roman"/>
                <w:i w:val="0"/>
                <w:iCs w:val="0"/>
                <w:caps w:val="0"/>
                <w:color w:val="000000"/>
                <w:spacing w:val="0"/>
                <w:sz w:val="20"/>
                <w:szCs w:val="20"/>
              </w:rPr>
            </w:pPr>
          </w:p>
        </w:tc>
        <w:tc>
          <w:tcPr>
            <w:tcW w:w="195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default" w:ascii="Times New Roman" w:hAnsi="Times New Roman" w:cs="Times New Roman"/>
                <w:i w:val="0"/>
                <w:iCs w:val="0"/>
                <w:caps w:val="0"/>
                <w:color w:val="000000"/>
                <w:spacing w:val="0"/>
                <w:sz w:val="20"/>
                <w:szCs w:val="20"/>
              </w:rPr>
            </w:pPr>
          </w:p>
        </w:tc>
        <w:tc>
          <w:tcPr>
            <w:tcW w:w="142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default" w:ascii="Times New Roman" w:hAnsi="Times New Roman" w:cs="Times New Roman"/>
                <w:i w:val="0"/>
                <w:iCs w:val="0"/>
                <w:caps w:val="0"/>
                <w:color w:val="000000"/>
                <w:spacing w:val="0"/>
                <w:sz w:val="20"/>
                <w:szCs w:val="20"/>
              </w:rPr>
            </w:pP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sz w:val="20"/>
                <w:szCs w:val="20"/>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社会</w:t>
            </w:r>
          </w:p>
        </w:tc>
        <w:tc>
          <w:tcPr>
            <w:tcW w:w="4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sz w:val="20"/>
                <w:szCs w:val="20"/>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特定群体</w:t>
            </w:r>
          </w:p>
        </w:tc>
        <w:tc>
          <w:tcPr>
            <w:tcW w:w="4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sz w:val="20"/>
                <w:szCs w:val="20"/>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主动公开</w:t>
            </w:r>
          </w:p>
        </w:tc>
        <w:tc>
          <w:tcPr>
            <w:tcW w:w="4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cs="Times New Roman"/>
                <w:sz w:val="20"/>
                <w:szCs w:val="20"/>
              </w:rPr>
            </w:pPr>
            <w:r>
              <w:rPr>
                <w:rFonts w:hint="default" w:ascii="Times New Roman" w:hAnsi="Times New Roman" w:cs="Times New Roman" w:eastAsiaTheme="minorEastAsia"/>
                <w:b w:val="0"/>
                <w:bCs w:val="0"/>
                <w:i w:val="0"/>
                <w:iCs w:val="0"/>
                <w:caps w:val="0"/>
                <w:color w:val="000000"/>
                <w:spacing w:val="0"/>
                <w:kern w:val="0"/>
                <w:sz w:val="20"/>
                <w:szCs w:val="20"/>
                <w:lang w:val="en-US" w:eastAsia="zh-CN" w:bidi="ar"/>
              </w:rP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1</w:t>
            </w:r>
          </w:p>
        </w:tc>
        <w:tc>
          <w:tcPr>
            <w:tcW w:w="567"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组织机构</w:t>
            </w:r>
          </w:p>
        </w:tc>
        <w:tc>
          <w:tcPr>
            <w:tcW w:w="5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b w:val="0"/>
                <w:bCs w:val="0"/>
                <w:i w:val="0"/>
                <w:iCs w:val="0"/>
                <w:caps w:val="0"/>
                <w:color w:val="000000"/>
                <w:spacing w:val="0"/>
                <w:kern w:val="0"/>
                <w:sz w:val="22"/>
                <w:szCs w:val="22"/>
                <w:lang w:val="en-US" w:eastAsia="zh-CN" w:bidi="ar"/>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简介</w:t>
            </w:r>
          </w:p>
        </w:tc>
        <w:tc>
          <w:tcPr>
            <w:tcW w:w="18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1.姓名</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2.职务</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3.分管工作</w:t>
            </w:r>
          </w:p>
        </w:tc>
        <w:tc>
          <w:tcPr>
            <w:tcW w:w="159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《中华人民共和国政府信息公开条例》</w:t>
            </w:r>
          </w:p>
        </w:tc>
        <w:tc>
          <w:tcPr>
            <w:tcW w:w="19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自该政府信息形成或者变更之日起20个工作日内及时公开</w:t>
            </w:r>
          </w:p>
        </w:tc>
        <w:tc>
          <w:tcPr>
            <w:tcW w:w="142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临沧市临翔区政府网站信息公开专栏</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rPr>
                <w:rFonts w:hint="eastAsia" w:ascii="仿宋_GB2312" w:hAnsi="仿宋_GB2312" w:eastAsia="仿宋_GB2312" w:cs="仿宋_GB2312"/>
                <w:i w:val="0"/>
                <w:iCs w:val="0"/>
                <w:caps w:val="0"/>
                <w:color w:val="000000"/>
                <w:spacing w:val="0"/>
                <w:sz w:val="22"/>
                <w:szCs w:val="22"/>
              </w:rPr>
            </w:pP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rPr>
                <w:rFonts w:hint="eastAsia" w:ascii="仿宋_GB2312" w:hAnsi="仿宋_GB2312" w:eastAsia="仿宋_GB2312" w:cs="仿宋_GB2312"/>
                <w:i w:val="0"/>
                <w:iCs w:val="0"/>
                <w:caps w:val="0"/>
                <w:color w:val="000000"/>
                <w:spacing w:val="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2</w:t>
            </w:r>
          </w:p>
        </w:tc>
        <w:tc>
          <w:tcPr>
            <w:tcW w:w="56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eastAsia" w:ascii="仿宋_GB2312" w:hAnsi="仿宋_GB2312" w:eastAsia="仿宋_GB2312" w:cs="仿宋_GB2312"/>
                <w:i w:val="0"/>
                <w:iCs w:val="0"/>
                <w:caps w:val="0"/>
                <w:color w:val="000000"/>
                <w:spacing w:val="0"/>
                <w:sz w:val="22"/>
                <w:szCs w:val="22"/>
              </w:rPr>
            </w:pPr>
          </w:p>
        </w:tc>
        <w:tc>
          <w:tcPr>
            <w:tcW w:w="5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b w:val="0"/>
                <w:bCs w:val="0"/>
                <w:i w:val="0"/>
                <w:iCs w:val="0"/>
                <w:caps w:val="0"/>
                <w:color w:val="000000"/>
                <w:spacing w:val="0"/>
                <w:kern w:val="0"/>
                <w:sz w:val="22"/>
                <w:szCs w:val="22"/>
                <w:lang w:val="en-US" w:eastAsia="zh-CN" w:bidi="ar"/>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职能</w:t>
            </w:r>
          </w:p>
        </w:tc>
        <w:tc>
          <w:tcPr>
            <w:tcW w:w="18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b w:val="0"/>
                <w:bCs w:val="0"/>
                <w:i w:val="0"/>
                <w:iCs w:val="0"/>
                <w:caps w:val="0"/>
                <w:color w:val="000000"/>
                <w:spacing w:val="0"/>
                <w:kern w:val="0"/>
                <w:sz w:val="22"/>
                <w:szCs w:val="22"/>
                <w:lang w:val="en-US" w:eastAsia="zh-CN" w:bidi="ar"/>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1.机关名称</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2.办公地址</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3.办公时间</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4.联系方式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5.负责人姓名</w:t>
            </w:r>
          </w:p>
        </w:tc>
        <w:tc>
          <w:tcPr>
            <w:tcW w:w="159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《中华人民共和国政府信息公开条例》</w:t>
            </w:r>
          </w:p>
        </w:tc>
        <w:tc>
          <w:tcPr>
            <w:tcW w:w="19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自该政府信息形成或者变更之日起20个工作日内及时公开</w:t>
            </w:r>
          </w:p>
        </w:tc>
        <w:tc>
          <w:tcPr>
            <w:tcW w:w="142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临沧市临翔区政府网站信息公开专栏</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rPr>
                <w:rFonts w:hint="eastAsia" w:ascii="仿宋_GB2312" w:hAnsi="仿宋_GB2312" w:eastAsia="仿宋_GB2312" w:cs="仿宋_GB2312"/>
                <w:i w:val="0"/>
                <w:iCs w:val="0"/>
                <w:caps w:val="0"/>
                <w:color w:val="000000"/>
                <w:spacing w:val="0"/>
                <w:sz w:val="22"/>
                <w:szCs w:val="22"/>
              </w:rPr>
            </w:pP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rPr>
                <w:rFonts w:hint="eastAsia" w:ascii="仿宋_GB2312" w:hAnsi="仿宋_GB2312" w:eastAsia="仿宋_GB2312" w:cs="仿宋_GB2312"/>
                <w:i w:val="0"/>
                <w:iCs w:val="0"/>
                <w:caps w:val="0"/>
                <w:color w:val="000000"/>
                <w:spacing w:val="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470" w:hRule="atLeast"/>
          <w:jc w:val="center"/>
        </w:trPr>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3</w:t>
            </w:r>
          </w:p>
        </w:tc>
        <w:tc>
          <w:tcPr>
            <w:tcW w:w="56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eastAsia" w:ascii="仿宋_GB2312" w:hAnsi="仿宋_GB2312" w:eastAsia="仿宋_GB2312" w:cs="仿宋_GB2312"/>
                <w:i w:val="0"/>
                <w:iCs w:val="0"/>
                <w:caps w:val="0"/>
                <w:color w:val="000000"/>
                <w:spacing w:val="0"/>
                <w:sz w:val="22"/>
                <w:szCs w:val="22"/>
              </w:rPr>
            </w:pPr>
          </w:p>
        </w:tc>
        <w:tc>
          <w:tcPr>
            <w:tcW w:w="5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b w:val="0"/>
                <w:bCs w:val="0"/>
                <w:i w:val="0"/>
                <w:iCs w:val="0"/>
                <w:caps w:val="0"/>
                <w:color w:val="000000"/>
                <w:spacing w:val="0"/>
                <w:kern w:val="0"/>
                <w:sz w:val="22"/>
                <w:szCs w:val="22"/>
                <w:lang w:val="en-US" w:eastAsia="zh-CN" w:bidi="ar"/>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设置</w:t>
            </w:r>
          </w:p>
        </w:tc>
        <w:tc>
          <w:tcPr>
            <w:tcW w:w="18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b w:val="0"/>
                <w:bCs w:val="0"/>
                <w:i w:val="0"/>
                <w:iCs w:val="0"/>
                <w:caps w:val="0"/>
                <w:color w:val="000000"/>
                <w:spacing w:val="0"/>
                <w:kern w:val="0"/>
                <w:sz w:val="22"/>
                <w:szCs w:val="22"/>
                <w:lang w:val="en-US" w:eastAsia="zh-CN" w:bidi="ar"/>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1.机关内设机构</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2.联系电话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default" w:ascii="仿宋_GB2312" w:hAnsi="仿宋_GB2312" w:eastAsia="仿宋_GB2312" w:cs="仿宋_GB2312"/>
                <w:b w:val="0"/>
                <w:bCs w:val="0"/>
                <w:i w:val="0"/>
                <w:iCs w:val="0"/>
                <w:caps w:val="0"/>
                <w:color w:val="000000"/>
                <w:spacing w:val="0"/>
                <w:kern w:val="0"/>
                <w:sz w:val="22"/>
                <w:szCs w:val="22"/>
                <w:lang w:val="en-US" w:eastAsia="zh-CN" w:bidi="ar"/>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3.邮编及邮箱地址</w:t>
            </w:r>
          </w:p>
        </w:tc>
        <w:tc>
          <w:tcPr>
            <w:tcW w:w="159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《中华人民共和国政府信息公开条例》</w:t>
            </w:r>
          </w:p>
        </w:tc>
        <w:tc>
          <w:tcPr>
            <w:tcW w:w="19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自该政府信息形成或者变更之日起20个工作日内及时公开</w:t>
            </w:r>
          </w:p>
        </w:tc>
        <w:tc>
          <w:tcPr>
            <w:tcW w:w="142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临沧市临翔区政府网站信息公开专栏</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rPr>
                <w:rFonts w:hint="eastAsia" w:ascii="仿宋_GB2312" w:hAnsi="仿宋_GB2312" w:eastAsia="仿宋_GB2312" w:cs="仿宋_GB2312"/>
                <w:i w:val="0"/>
                <w:iCs w:val="0"/>
                <w:caps w:val="0"/>
                <w:color w:val="000000"/>
                <w:spacing w:val="0"/>
                <w:sz w:val="22"/>
                <w:szCs w:val="22"/>
              </w:rPr>
            </w:pP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rPr>
                <w:rFonts w:hint="eastAsia" w:ascii="仿宋_GB2312" w:hAnsi="仿宋_GB2312" w:eastAsia="仿宋_GB2312" w:cs="仿宋_GB2312"/>
                <w:i w:val="0"/>
                <w:iCs w:val="0"/>
                <w:caps w:val="0"/>
                <w:color w:val="000000"/>
                <w:spacing w:val="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100" w:hRule="atLeast"/>
          <w:jc w:val="center"/>
        </w:trPr>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jc w:val="left"/>
              <w:rPr>
                <w:rFonts w:hint="eastAsia" w:ascii="仿宋_GB2312" w:hAnsi="仿宋_GB2312" w:eastAsia="仿宋_GB2312" w:cs="仿宋_GB2312"/>
                <w:sz w:val="22"/>
                <w:szCs w:val="22"/>
              </w:rPr>
            </w:pPr>
            <w:r>
              <w:rPr>
                <w:rFonts w:hint="eastAsia" w:ascii="仿宋_GB2312" w:hAnsi="仿宋_GB2312" w:eastAsia="仿宋_GB2312" w:cs="仿宋_GB2312"/>
                <w:i w:val="0"/>
                <w:iCs w:val="0"/>
                <w:caps w:val="0"/>
                <w:color w:val="000000"/>
                <w:spacing w:val="0"/>
                <w:kern w:val="0"/>
                <w:sz w:val="22"/>
                <w:szCs w:val="22"/>
                <w:lang w:val="en-US" w:eastAsia="zh-CN" w:bidi="ar"/>
              </w:rPr>
              <w:t>​</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t>4</w:t>
            </w:r>
          </w:p>
        </w:tc>
        <w:tc>
          <w:tcPr>
            <w:tcW w:w="56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信息公开</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信息公开指南</w:t>
            </w:r>
          </w:p>
        </w:tc>
        <w:tc>
          <w:tcPr>
            <w:tcW w:w="185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1.公开原则</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2.公开主体</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3.公开内容</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4.公开时限</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5.公开方式</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6.办公时间及地点</w:t>
            </w:r>
          </w:p>
        </w:tc>
        <w:tc>
          <w:tcPr>
            <w:tcW w:w="159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《中华人民共和国政府信息公开条例》</w:t>
            </w:r>
          </w:p>
        </w:tc>
        <w:tc>
          <w:tcPr>
            <w:tcW w:w="19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自该政府信息形成或者变更之日起20个工作日内及时公开</w:t>
            </w:r>
          </w:p>
        </w:tc>
        <w:tc>
          <w:tcPr>
            <w:tcW w:w="142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临沧市临翔区政府网站信息公开专栏</w:t>
            </w:r>
          </w:p>
        </w:tc>
        <w:tc>
          <w:tcPr>
            <w:tcW w:w="4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w:t>
            </w:r>
          </w:p>
        </w:tc>
        <w:tc>
          <w:tcPr>
            <w:tcW w:w="4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530" w:hRule="atLeast"/>
          <w:jc w:val="center"/>
        </w:trPr>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5</w:t>
            </w:r>
          </w:p>
        </w:tc>
        <w:tc>
          <w:tcPr>
            <w:tcW w:w="56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eastAsia" w:ascii="仿宋_GB2312" w:hAnsi="仿宋_GB2312" w:eastAsia="仿宋_GB2312" w:cs="仿宋_GB2312"/>
                <w:i w:val="0"/>
                <w:iCs w:val="0"/>
                <w:caps w:val="0"/>
                <w:color w:val="000000"/>
                <w:spacing w:val="0"/>
                <w:sz w:val="22"/>
                <w:szCs w:val="22"/>
              </w:rPr>
            </w:pPr>
          </w:p>
        </w:tc>
        <w:tc>
          <w:tcPr>
            <w:tcW w:w="5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信息公开制度</w:t>
            </w:r>
          </w:p>
        </w:tc>
        <w:tc>
          <w:tcPr>
            <w:tcW w:w="18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1.信访工作条例</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2.本部门政府信息公开制度</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3.中华人民共和国政府信息公开条例</w:t>
            </w:r>
          </w:p>
        </w:tc>
        <w:tc>
          <w:tcPr>
            <w:tcW w:w="159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《中华人民共和国政府信息公开条例》</w:t>
            </w:r>
          </w:p>
        </w:tc>
        <w:tc>
          <w:tcPr>
            <w:tcW w:w="19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自该政府信息形成或者变更之日起20个工作日内及时公开</w:t>
            </w:r>
          </w:p>
        </w:tc>
        <w:tc>
          <w:tcPr>
            <w:tcW w:w="142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临沧市临翔区政府网站信息公开专栏</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6</w:t>
            </w:r>
          </w:p>
        </w:tc>
        <w:tc>
          <w:tcPr>
            <w:tcW w:w="56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eastAsia" w:ascii="仿宋_GB2312" w:hAnsi="仿宋_GB2312" w:eastAsia="仿宋_GB2312" w:cs="仿宋_GB2312"/>
                <w:i w:val="0"/>
                <w:iCs w:val="0"/>
                <w:caps w:val="0"/>
                <w:color w:val="000000"/>
                <w:spacing w:val="0"/>
                <w:sz w:val="22"/>
                <w:szCs w:val="22"/>
              </w:rPr>
            </w:pPr>
          </w:p>
        </w:tc>
        <w:tc>
          <w:tcPr>
            <w:tcW w:w="5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信息公开年报</w:t>
            </w:r>
          </w:p>
        </w:tc>
        <w:tc>
          <w:tcPr>
            <w:tcW w:w="18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本部门政府信息公开工作年度报告</w:t>
            </w:r>
          </w:p>
        </w:tc>
        <w:tc>
          <w:tcPr>
            <w:tcW w:w="159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《中华人民共和国政府信息公开条例》</w:t>
            </w:r>
          </w:p>
        </w:tc>
        <w:tc>
          <w:tcPr>
            <w:tcW w:w="19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自该政府信息形成或者变更之日起20个工作日内及时公开</w:t>
            </w:r>
          </w:p>
        </w:tc>
        <w:tc>
          <w:tcPr>
            <w:tcW w:w="142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临沧市临翔区政府网站信息公开专栏</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7</w:t>
            </w:r>
          </w:p>
        </w:tc>
        <w:tc>
          <w:tcPr>
            <w:tcW w:w="56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eastAsia" w:ascii="仿宋_GB2312" w:hAnsi="仿宋_GB2312" w:eastAsia="仿宋_GB2312" w:cs="仿宋_GB2312"/>
                <w:i w:val="0"/>
                <w:iCs w:val="0"/>
                <w:caps w:val="0"/>
                <w:color w:val="000000"/>
                <w:spacing w:val="0"/>
                <w:sz w:val="22"/>
                <w:szCs w:val="22"/>
              </w:rPr>
            </w:pPr>
          </w:p>
        </w:tc>
        <w:tc>
          <w:tcPr>
            <w:tcW w:w="5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依申请公开</w:t>
            </w:r>
          </w:p>
        </w:tc>
        <w:tc>
          <w:tcPr>
            <w:tcW w:w="18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1.受理申请机构</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2.受理范围</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4.申请的处理标准</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5.答复时限</w:t>
            </w:r>
          </w:p>
        </w:tc>
        <w:tc>
          <w:tcPr>
            <w:tcW w:w="159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《中华人民共和国政府信息公开条例》</w:t>
            </w:r>
          </w:p>
        </w:tc>
        <w:tc>
          <w:tcPr>
            <w:tcW w:w="19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自该政府信息形成或者变更之日起20个工作日内及时公开</w:t>
            </w:r>
          </w:p>
        </w:tc>
        <w:tc>
          <w:tcPr>
            <w:tcW w:w="142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临沧市临翔区政府网站信息公开专栏</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995" w:hRule="atLeast"/>
          <w:jc w:val="center"/>
        </w:trPr>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8</w:t>
            </w:r>
          </w:p>
        </w:tc>
        <w:tc>
          <w:tcPr>
            <w:tcW w:w="56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eastAsia" w:ascii="仿宋_GB2312" w:hAnsi="仿宋_GB2312" w:eastAsia="仿宋_GB2312" w:cs="仿宋_GB2312"/>
                <w:i w:val="0"/>
                <w:iCs w:val="0"/>
                <w:caps w:val="0"/>
                <w:color w:val="000000"/>
                <w:spacing w:val="0"/>
                <w:sz w:val="22"/>
                <w:szCs w:val="22"/>
              </w:rPr>
            </w:pPr>
          </w:p>
        </w:tc>
        <w:tc>
          <w:tcPr>
            <w:tcW w:w="5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文件和解读</w:t>
            </w:r>
          </w:p>
        </w:tc>
        <w:tc>
          <w:tcPr>
            <w:tcW w:w="18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1.中央退役军人事务部、云南省退役军人事务厅出台的重要政策文件（主动公开部分）</w:t>
            </w:r>
            <w:r>
              <w:rPr>
                <w:rFonts w:hint="eastAsia" w:ascii="仿宋_GB2312" w:hAnsi="仿宋_GB2312" w:eastAsia="仿宋_GB2312" w:cs="仿宋_GB2312"/>
                <w:b w:val="0"/>
                <w:bCs w:val="0"/>
                <w:i w:val="0"/>
                <w:iCs w:val="0"/>
                <w:caps w:val="0"/>
                <w:color w:val="000000"/>
                <w:spacing w:val="0"/>
                <w:kern w:val="0"/>
                <w:sz w:val="22"/>
                <w:szCs w:val="22"/>
                <w:lang w:val="en-US" w:eastAsia="zh-CN" w:bidi="ar"/>
              </w:rPr>
              <w:br w:type="textWrapping"/>
            </w:r>
            <w:r>
              <w:rPr>
                <w:rFonts w:hint="eastAsia" w:ascii="仿宋_GB2312" w:hAnsi="仿宋_GB2312" w:eastAsia="仿宋_GB2312" w:cs="仿宋_GB2312"/>
                <w:b w:val="0"/>
                <w:bCs w:val="0"/>
                <w:i w:val="0"/>
                <w:iCs w:val="0"/>
                <w:caps w:val="0"/>
                <w:color w:val="000000"/>
                <w:spacing w:val="0"/>
                <w:kern w:val="0"/>
                <w:sz w:val="22"/>
                <w:szCs w:val="22"/>
                <w:lang w:val="en-US" w:eastAsia="zh-CN" w:bidi="ar"/>
              </w:rPr>
              <w:t>2.对政策文件进行解读，包括文字解读、专家解读、领导解读、图解图表等</w:t>
            </w:r>
          </w:p>
        </w:tc>
        <w:tc>
          <w:tcPr>
            <w:tcW w:w="159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《中华人民共和国政府信息公开条例》</w:t>
            </w:r>
          </w:p>
        </w:tc>
        <w:tc>
          <w:tcPr>
            <w:tcW w:w="19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自该政府信息形成或者变更之日起20个工作日内及时公开</w:t>
            </w:r>
          </w:p>
        </w:tc>
        <w:tc>
          <w:tcPr>
            <w:tcW w:w="142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临沧市临翔区政府网站信息公开专栏</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190" w:hRule="atLeast"/>
          <w:jc w:val="center"/>
        </w:trPr>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9</w:t>
            </w:r>
          </w:p>
        </w:tc>
        <w:tc>
          <w:tcPr>
            <w:tcW w:w="56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eastAsia" w:ascii="仿宋_GB2312" w:hAnsi="仿宋_GB2312" w:eastAsia="仿宋_GB2312" w:cs="仿宋_GB2312"/>
                <w:i w:val="0"/>
                <w:iCs w:val="0"/>
                <w:caps w:val="0"/>
                <w:color w:val="000000"/>
                <w:spacing w:val="0"/>
                <w:sz w:val="22"/>
                <w:szCs w:val="22"/>
              </w:rPr>
            </w:pPr>
          </w:p>
        </w:tc>
        <w:tc>
          <w:tcPr>
            <w:tcW w:w="5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财政预决算及三公经费</w:t>
            </w:r>
          </w:p>
        </w:tc>
        <w:tc>
          <w:tcPr>
            <w:tcW w:w="18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区退役军人事务局年度预决算执行情况</w:t>
            </w:r>
          </w:p>
        </w:tc>
        <w:tc>
          <w:tcPr>
            <w:tcW w:w="159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《中华人民共和国政府信息公开条例》、《云南省预算审查监督条例》《云南省预算公开工作实施细则》</w:t>
            </w:r>
          </w:p>
        </w:tc>
        <w:tc>
          <w:tcPr>
            <w:tcW w:w="19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自该政府信息形成或者变更之日起20个工作日内及时公开</w:t>
            </w:r>
          </w:p>
        </w:tc>
        <w:tc>
          <w:tcPr>
            <w:tcW w:w="142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临沧市临翔区政府网站信息公开专栏</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100" w:hRule="atLeast"/>
          <w:jc w:val="center"/>
        </w:trPr>
        <w:tc>
          <w:tcPr>
            <w:tcW w:w="5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10</w:t>
            </w:r>
          </w:p>
        </w:tc>
        <w:tc>
          <w:tcPr>
            <w:tcW w:w="56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0"/>
              <w:rPr>
                <w:rFonts w:hint="eastAsia" w:ascii="仿宋_GB2312" w:hAnsi="仿宋_GB2312" w:eastAsia="仿宋_GB2312" w:cs="仿宋_GB2312"/>
                <w:i w:val="0"/>
                <w:iCs w:val="0"/>
                <w:caps w:val="0"/>
                <w:color w:val="000000"/>
                <w:spacing w:val="0"/>
                <w:sz w:val="22"/>
                <w:szCs w:val="22"/>
              </w:rPr>
            </w:pPr>
          </w:p>
        </w:tc>
        <w:tc>
          <w:tcPr>
            <w:tcW w:w="5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b w:val="0"/>
                <w:bCs w:val="0"/>
                <w:i w:val="0"/>
                <w:iCs w:val="0"/>
                <w:caps w:val="0"/>
                <w:color w:val="000000"/>
                <w:spacing w:val="0"/>
                <w:kern w:val="0"/>
                <w:sz w:val="22"/>
                <w:szCs w:val="22"/>
                <w:lang w:val="en-US" w:eastAsia="zh-CN" w:bidi="ar"/>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权责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清单</w:t>
            </w:r>
          </w:p>
        </w:tc>
        <w:tc>
          <w:tcPr>
            <w:tcW w:w="18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权责清单</w:t>
            </w:r>
          </w:p>
        </w:tc>
        <w:tc>
          <w:tcPr>
            <w:tcW w:w="159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《中华人民共和国政府信息公开条例》、《云南省人民政府关于印发云南省政府工作部门权责清单管理办法的通知》（云政发〔2017〕64号）</w:t>
            </w:r>
          </w:p>
        </w:tc>
        <w:tc>
          <w:tcPr>
            <w:tcW w:w="19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自该政府信息形成或者变更之日起20个工作日内及时公开</w:t>
            </w:r>
          </w:p>
        </w:tc>
        <w:tc>
          <w:tcPr>
            <w:tcW w:w="142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临沧市临翔区政府网站信息公开专栏</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w:t>
            </w:r>
          </w:p>
        </w:tc>
        <w:tc>
          <w:tcPr>
            <w:tcW w:w="45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0"/>
                <w:kern w:val="0"/>
                <w:sz w:val="22"/>
                <w:szCs w:val="22"/>
                <w:lang w:val="en-US" w:eastAsia="zh-CN" w:bidi="ar"/>
              </w:rPr>
              <w:t> </w:t>
            </w:r>
          </w:p>
        </w:tc>
      </w:tr>
    </w:tbl>
    <w:p>
      <w:pPr>
        <w:keepNext w:val="0"/>
        <w:keepLines w:val="0"/>
        <w:widowControl/>
        <w:suppressLineNumbers w:val="0"/>
        <w:wordWrap w:val="0"/>
        <w:spacing w:before="0" w:beforeAutospacing="0" w:after="0" w:afterAutospacing="0" w:line="300" w:lineRule="atLeast"/>
        <w:ind w:left="0" w:right="0" w:firstLine="42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b w:val="0"/>
          <w:bCs w:val="0"/>
          <w:i w:val="0"/>
          <w:iCs w:val="0"/>
          <w:caps w:val="0"/>
          <w:color w:val="000000"/>
          <w:spacing w:val="0"/>
          <w:kern w:val="0"/>
          <w:sz w:val="32"/>
          <w:szCs w:val="32"/>
          <w:lang w:val="en-US" w:eastAsia="zh-CN" w:bidi="ar"/>
        </w:rPr>
        <w:t> </w:t>
      </w:r>
    </w:p>
    <w:p>
      <w:pPr>
        <w:keepNext w:val="0"/>
        <w:keepLines w:val="0"/>
        <w:widowControl/>
        <w:suppressLineNumbers w:val="0"/>
        <w:wordWrap w:val="0"/>
        <w:spacing w:before="0" w:beforeAutospacing="0" w:after="0" w:afterAutospacing="0" w:line="300" w:lineRule="atLeast"/>
        <w:ind w:left="0" w:right="0" w:firstLine="420"/>
        <w:jc w:val="both"/>
      </w:pPr>
      <w:r>
        <w:rPr>
          <w:rFonts w:hint="default" w:ascii="Times New Roman" w:hAnsi="Times New Roman" w:cs="Times New Roman" w:eastAsiaTheme="minorEastAsia"/>
          <w:b w:val="0"/>
          <w:bCs w:val="0"/>
          <w:i w:val="0"/>
          <w:iCs w:val="0"/>
          <w:caps w:val="0"/>
          <w:color w:val="000000"/>
          <w:spacing w:val="0"/>
          <w:kern w:val="0"/>
          <w:sz w:val="32"/>
          <w:szCs w:val="32"/>
          <w:lang w:val="en-US" w:eastAsia="zh-CN" w:bidi="ar"/>
        </w:rPr>
        <w:t> </w:t>
      </w:r>
      <w:bookmarkStart w:id="0" w:name="_GoBack"/>
      <w:bookmarkEnd w:id="0"/>
    </w:p>
    <w:sectPr>
      <w:pgSz w:w="11906" w:h="16838"/>
      <w:pgMar w:top="1563" w:right="283" w:bottom="1415" w:left="2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N2JmNWM1OGZiZDcwMDI3YWEyNjViMDI1MjE0MjUifQ=="/>
  </w:docVars>
  <w:rsids>
    <w:rsidRoot w:val="34AF7E73"/>
    <w:rsid w:val="201B0F60"/>
    <w:rsid w:val="20CA405A"/>
    <w:rsid w:val="34AF7E73"/>
    <w:rsid w:val="368F773B"/>
    <w:rsid w:val="3DE43AE3"/>
    <w:rsid w:val="49EC66DC"/>
    <w:rsid w:val="55B25BBD"/>
    <w:rsid w:val="601C2F9D"/>
    <w:rsid w:val="79956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1122</Words>
  <Characters>1166</Characters>
  <Lines>0</Lines>
  <Paragraphs>0</Paragraphs>
  <TotalTime>10</TotalTime>
  <ScaleCrop>false</ScaleCrop>
  <LinksUpToDate>false</LinksUpToDate>
  <CharactersWithSpaces>1193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2023-08-16T02:10:00Z</dcterms:created>
  <dc:creator>lenovo</dc:creator>
  <cp:lastModifiedBy>董银龙</cp:lastModifiedBy>
  <dcterms:modified xsi:type="dcterms:W3CDTF">2024-05-31T07:18:09Z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B15E82B263B745D1B3FC48E9AA558EA0_11</vt:lpwstr>
  </property>
</Properties>
</file>