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Lines="0" w:after="0" w:line="56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widowControl w:val="0"/>
        <w:wordWrap/>
        <w:adjustRightInd/>
        <w:snapToGrid/>
        <w:spacing w:beforeLines="0" w:after="0" w:line="56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widowControl w:val="0"/>
        <w:wordWrap/>
        <w:adjustRightInd/>
        <w:snapToGrid/>
        <w:spacing w:beforeLines="0" w:after="0" w:line="560" w:lineRule="exact"/>
        <w:jc w:val="center"/>
        <w:textAlignment w:val="auto"/>
        <w:outlineLvl w:val="0"/>
        <w:rPr>
          <w:rFonts w:hint="default" w:ascii="Times New Roman" w:hAnsi="Times New Roman" w:eastAsia="方正小标宋_GBK" w:cs="Times New Roman"/>
          <w:b w:val="0"/>
          <w:bCs w:val="0"/>
          <w:strike w:val="0"/>
          <w:dstrike w:val="0"/>
          <w:color w:val="auto"/>
          <w:sz w:val="40"/>
          <w:szCs w:val="40"/>
          <w:lang w:eastAsia="zh-CN"/>
        </w:rPr>
      </w:pPr>
    </w:p>
    <w:p>
      <w:pPr>
        <w:widowControl w:val="0"/>
        <w:wordWrap/>
        <w:adjustRightInd/>
        <w:snapToGrid/>
        <w:spacing w:beforeLines="0" w:after="0" w:line="560" w:lineRule="exact"/>
        <w:jc w:val="center"/>
        <w:textAlignment w:val="auto"/>
        <w:outlineLvl w:val="0"/>
        <w:rPr>
          <w:rFonts w:hint="eastAsia" w:ascii="方正小标宋简体" w:hAnsi="方正小标宋简体" w:eastAsia="方正小标宋简体" w:cs="方正小标宋简体"/>
          <w:b/>
          <w:bCs/>
          <w:strike w:val="0"/>
          <w:dstrike w:val="0"/>
          <w:color w:val="FF0000"/>
          <w:sz w:val="44"/>
          <w:szCs w:val="44"/>
          <w:lang w:eastAsia="zh-CN"/>
        </w:rPr>
      </w:pPr>
      <w:r>
        <w:rPr>
          <w:rFonts w:hint="eastAsia" w:ascii="方正小标宋简体" w:hAnsi="方正小标宋简体" w:eastAsia="方正小标宋简体" w:cs="方正小标宋简体"/>
          <w:b/>
          <w:bCs/>
          <w:strike w:val="0"/>
          <w:dstrike w:val="0"/>
          <w:color w:val="auto"/>
          <w:sz w:val="44"/>
          <w:szCs w:val="44"/>
        </w:rPr>
        <w:t>行政许可事项实施规范</w:t>
      </w:r>
      <w:r>
        <w:rPr>
          <w:rFonts w:hint="eastAsia" w:ascii="方正小标宋简体" w:hAnsi="方正小标宋简体" w:eastAsia="方正小标宋简体" w:cs="方正小标宋简体"/>
          <w:b/>
          <w:bCs/>
          <w:strike w:val="0"/>
          <w:dstrike w:val="0"/>
          <w:color w:val="auto"/>
          <w:sz w:val="44"/>
          <w:szCs w:val="44"/>
          <w:lang w:eastAsia="zh-CN"/>
        </w:rPr>
        <w:t>编制说明</w:t>
      </w:r>
    </w:p>
    <w:p>
      <w:pPr>
        <w:widowControl w:val="0"/>
        <w:wordWrap/>
        <w:adjustRightInd/>
        <w:snapToGrid/>
        <w:spacing w:beforeLines="0" w:after="0" w:line="560" w:lineRule="exact"/>
        <w:jc w:val="center"/>
        <w:textAlignment w:val="auto"/>
        <w:outlineLvl w:val="0"/>
        <w:rPr>
          <w:rFonts w:hint="eastAsia" w:ascii="方正小标宋简体" w:hAnsi="方正小标宋简体" w:eastAsia="方正小标宋简体" w:cs="方正小标宋简体"/>
          <w:b/>
          <w:bCs/>
          <w:strike w:val="0"/>
          <w:dstrike w:val="0"/>
          <w:color w:val="auto"/>
          <w:sz w:val="44"/>
          <w:szCs w:val="44"/>
          <w:lang w:eastAsia="zh-CN"/>
        </w:rPr>
      </w:pPr>
      <w:r>
        <w:rPr>
          <w:rFonts w:hint="eastAsia" w:ascii="方正小标宋简体" w:hAnsi="方正小标宋简体" w:eastAsia="方正小标宋简体" w:cs="方正小标宋简体"/>
          <w:b/>
          <w:bCs/>
          <w:strike w:val="0"/>
          <w:dstrike w:val="0"/>
          <w:color w:val="auto"/>
          <w:sz w:val="44"/>
          <w:szCs w:val="44"/>
          <w:lang w:eastAsia="zh-CN"/>
        </w:rPr>
        <w:t>主项实施规范</w:t>
      </w:r>
    </w:p>
    <w:p>
      <w:pPr>
        <w:widowControl w:val="0"/>
        <w:wordWrap/>
        <w:adjustRightInd/>
        <w:snapToGrid/>
        <w:spacing w:beforeLines="0" w:after="0" w:line="560" w:lineRule="exact"/>
        <w:jc w:val="center"/>
        <w:textAlignment w:val="auto"/>
        <w:outlineLvl w:val="0"/>
        <w:rPr>
          <w:rFonts w:hint="default" w:ascii="Times New Roman" w:hAnsi="Times New Roman" w:eastAsia="方正楷体_GBK" w:cs="Times New Roman"/>
          <w:b w:val="0"/>
          <w:bCs w:val="0"/>
          <w:strike w:val="0"/>
          <w:dstrike w:val="0"/>
          <w:color w:val="auto"/>
          <w:sz w:val="32"/>
          <w:szCs w:val="32"/>
          <w:lang w:eastAsia="zh-CN"/>
        </w:rPr>
      </w:pPr>
      <w:r>
        <w:rPr>
          <w:rFonts w:hint="default" w:ascii="Times New Roman" w:hAnsi="Times New Roman" w:eastAsia="方正楷体_GBK" w:cs="Times New Roman"/>
          <w:b w:val="0"/>
          <w:bCs w:val="0"/>
          <w:strike w:val="0"/>
          <w:dstrike w:val="0"/>
          <w:color w:val="auto"/>
          <w:sz w:val="32"/>
          <w:szCs w:val="32"/>
          <w:lang w:eastAsia="zh-CN"/>
        </w:rPr>
        <w:t>（基本要素）</w:t>
      </w:r>
    </w:p>
    <w:p>
      <w:pPr>
        <w:widowControl w:val="0"/>
        <w:wordWrap/>
        <w:adjustRightInd/>
        <w:snapToGrid/>
        <w:spacing w:beforeLines="0" w:after="0" w:line="560" w:lineRule="exact"/>
        <w:jc w:val="center"/>
        <w:textAlignment w:val="auto"/>
        <w:outlineLvl w:val="0"/>
        <w:rPr>
          <w:rFonts w:hint="default" w:ascii="Times New Roman" w:hAnsi="Times New Roman" w:eastAsia="方正楷体_GBK" w:cs="Times New Roman"/>
          <w:b w:val="0"/>
          <w:bCs w:val="0"/>
          <w:strike w:val="0"/>
          <w:dstrike w:val="0"/>
          <w:color w:val="auto"/>
          <w:sz w:val="32"/>
          <w:szCs w:val="32"/>
          <w:lang w:eastAsia="zh-CN"/>
        </w:rPr>
      </w:pPr>
    </w:p>
    <w:p>
      <w:pPr>
        <w:widowControl w:val="0"/>
        <w:numPr>
          <w:ilvl w:val="0"/>
          <w:numId w:val="1"/>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行政许可事项名称：</w:t>
      </w:r>
    </w:p>
    <w:p>
      <w:pPr>
        <w:widowControl w:val="0"/>
        <w:numPr>
          <w:ilvl w:val="0"/>
          <w:numId w:val="0"/>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互联网上网服务营业场所信息网络安全审核</w:t>
      </w:r>
    </w:p>
    <w:p>
      <w:pPr>
        <w:widowControl w:val="0"/>
        <w:numPr>
          <w:ilvl w:val="0"/>
          <w:numId w:val="0"/>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二、主管部门：</w:t>
      </w:r>
    </w:p>
    <w:p>
      <w:pPr>
        <w:widowControl w:val="0"/>
        <w:numPr>
          <w:ilvl w:val="0"/>
          <w:numId w:val="0"/>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临沧市公安局临翔分局</w:t>
      </w:r>
      <w:bookmarkStart w:id="0" w:name="_GoBack"/>
      <w:bookmarkEnd w:id="0"/>
    </w:p>
    <w:p>
      <w:pPr>
        <w:widowControl w:val="0"/>
        <w:numPr>
          <w:ilvl w:val="0"/>
          <w:numId w:val="2"/>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实施机关：</w:t>
      </w:r>
    </w:p>
    <w:p>
      <w:pPr>
        <w:widowControl w:val="0"/>
        <w:numPr>
          <w:ilvl w:val="0"/>
          <w:numId w:val="0"/>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临沧市公安局临翔分局</w:t>
      </w:r>
    </w:p>
    <w:p>
      <w:pPr>
        <w:widowControl w:val="0"/>
        <w:numPr>
          <w:ilvl w:val="0"/>
          <w:numId w:val="3"/>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设定和实施依据：</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设定依据：（1）《互联网上网服务营业场所管理条例》第四条</w:t>
      </w:r>
      <w:r>
        <w:rPr>
          <w:rFonts w:hint="eastAsia" w:ascii="仿宋_GB2312" w:hAnsi="仿宋_GB2312" w:eastAsia="仿宋_GB2312" w:cs="仿宋_GB2312"/>
          <w:b w:val="0"/>
          <w:bCs w:val="0"/>
          <w:strike w:val="0"/>
          <w:dstrike w:val="0"/>
          <w:color w:val="auto"/>
          <w:sz w:val="32"/>
          <w:szCs w:val="32"/>
          <w:lang w:eastAsia="zh-CN"/>
        </w:rPr>
        <w:t xml:space="preserve"> 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p>
    <w:p>
      <w:pPr>
        <w:widowControl w:val="0"/>
        <w:numPr>
          <w:ilvl w:val="0"/>
          <w:numId w:val="4"/>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eastAsia="zh-CN"/>
        </w:rPr>
        <w:t>《互联网上网服务营业场所管理条例》第</w:t>
      </w:r>
      <w:r>
        <w:rPr>
          <w:rFonts w:hint="eastAsia" w:ascii="仿宋_GB2312" w:hAnsi="仿宋_GB2312" w:eastAsia="仿宋_GB2312" w:cs="仿宋_GB2312"/>
          <w:b w:val="0"/>
          <w:bCs w:val="0"/>
          <w:strike w:val="0"/>
          <w:dstrike w:val="0"/>
          <w:color w:val="auto"/>
          <w:sz w:val="32"/>
          <w:szCs w:val="32"/>
          <w:lang w:val="en-US" w:eastAsia="zh-CN"/>
        </w:rPr>
        <w:t>七条 国家对互联网上网服务营业场所经营单位的经营活动实行许可制度。未经许可，任何组织和个人不得从事互联网上网服务经营活动。</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实施依据：（1）《互联网上网服务营业场所管理条例》</w:t>
      </w:r>
      <w:r>
        <w:rPr>
          <w:rFonts w:hint="eastAsia" w:ascii="仿宋_GB2312" w:hAnsi="仿宋_GB2312" w:eastAsia="仿宋_GB2312" w:cs="仿宋_GB2312"/>
          <w:b w:val="0"/>
          <w:bCs w:val="0"/>
          <w:strike w:val="0"/>
          <w:dstrike w:val="0"/>
          <w:color w:val="auto"/>
          <w:sz w:val="32"/>
          <w:szCs w:val="32"/>
          <w:lang w:eastAsia="zh-CN"/>
        </w:rPr>
        <w:t>第</w:t>
      </w:r>
      <w:r>
        <w:rPr>
          <w:rFonts w:hint="eastAsia" w:ascii="仿宋_GB2312" w:hAnsi="仿宋_GB2312" w:eastAsia="仿宋_GB2312" w:cs="仿宋_GB2312"/>
          <w:b w:val="0"/>
          <w:bCs w:val="0"/>
          <w:strike w:val="0"/>
          <w:dstrike w:val="0"/>
          <w:color w:val="auto"/>
          <w:sz w:val="32"/>
          <w:szCs w:val="32"/>
          <w:lang w:val="en-US" w:eastAsia="zh-CN"/>
        </w:rPr>
        <w:t>八条 互联网上网服务营业场所经营单位从事互联网上网服务经营活动，应当具备下列条件：</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（一）有企业的名称、住所、组织机构和章程；</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（二）有与其经营活动相适应的资金；</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（三）有与其经营活动相适应并符合国家规定的消防安全条件的营业场所；</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（四）有健全、完善的信息网络安全管理制度和安全技术措施；</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（五）有固定的网络地址和与其经营活动相适应的计算机等装置及附属设备；</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（六）有与其经营活动相适应并取得从业资格的安全管理人员、经营管理人员、专业技术人员；</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（七）法律、行政法规和国务院有关部门规定的其他条件。</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互联网上网服务营业场所的最低营业面积、计算机等装置及附属设备数量、单机面积的标准，由国务院文化行政部门规定。</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审批从事互联网上网服务经营活动，除依照本条第一款、第二款规定的条件外，还应当符合国务院文化行政部门和省、自治区、直辖市人民政府文化行政部门规定的互联网上网服务营业场所经营单位的总量和布局要求。</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b w:val="0"/>
          <w:bCs w:val="0"/>
          <w:strike w:val="0"/>
          <w:dstrike w:val="0"/>
          <w:color w:val="auto"/>
          <w:sz w:val="32"/>
          <w:szCs w:val="32"/>
          <w:lang w:val="en-US" w:eastAsia="zh-CN"/>
        </w:rPr>
        <w:t>《互联网上网服务营业场所管理条例》第十一条 文化行政部门应当自收到申请之日起20个工作日内作出决定；经审查，符合条件的，发给同意筹建的批准文件。</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color w:val="auto"/>
          <w:sz w:val="32"/>
          <w:szCs w:val="32"/>
        </w:rPr>
        <w:t>申请人完成筹建后，应当向同级公安机关承诺符合信息网络安全审核条件，并经公安机关确认当场签署承诺书。申请人还应当依照有关消防管理法律法规的规定办理审批手续。</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执信息网络安全承诺书并取得消防安全批准文件后，向文化行政部门申请最终审核。文化行政部门应当自收到申请之日起15个工作日内依据本条例第八条的规定作出决定；经实地检查并审核合格的，发给《网络文化经营许可证》。</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对申请人的申请，有关部门经审查不符合条件的，或者经审核不合格的，应当分别向申请人书面说明理由。</w:t>
      </w:r>
    </w:p>
    <w:p>
      <w:pPr>
        <w:widowControl w:val="0"/>
        <w:numPr>
          <w:ilvl w:val="0"/>
          <w:numId w:val="0"/>
        </w:numPr>
        <w:wordWrap/>
        <w:adjustRightInd/>
        <w:snapToGrid/>
        <w:spacing w:line="56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color w:val="auto"/>
          <w:sz w:val="32"/>
          <w:szCs w:val="32"/>
        </w:rPr>
        <w:t>文化行政部门发放《网络文化经营许可证》的情况或互联网上网服务营业场所经营单位拟开展经营活动的情况，应当向同级公安机关通报或报备。</w:t>
      </w:r>
    </w:p>
    <w:p>
      <w:pPr>
        <w:widowControl w:val="0"/>
        <w:numPr>
          <w:ilvl w:val="0"/>
          <w:numId w:val="0"/>
        </w:numPr>
        <w:wordWrap/>
        <w:adjustRightInd/>
        <w:snapToGrid/>
        <w:spacing w:beforeLines="0" w:line="560" w:lineRule="exact"/>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五、子项：</w:t>
      </w:r>
    </w:p>
    <w:p>
      <w:pPr>
        <w:widowControl w:val="0"/>
        <w:wordWrap/>
        <w:adjustRightInd/>
        <w:snapToGrid/>
        <w:spacing w:beforeLines="0" w:line="560" w:lineRule="exact"/>
        <w:ind w:firstLine="640" w:firstLineChars="200"/>
        <w:jc w:val="both"/>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无</w:t>
      </w:r>
    </w:p>
    <w:p>
      <w:pPr>
        <w:bidi w:val="0"/>
        <w:jc w:val="left"/>
        <w:rPr>
          <w:rFonts w:hint="eastAsia"/>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5C11A9"/>
    <w:multiLevelType w:val="singleLevel"/>
    <w:tmpl w:val="655C11A9"/>
    <w:lvl w:ilvl="0" w:tentative="0">
      <w:start w:val="1"/>
      <w:numFmt w:val="chineseCounting"/>
      <w:suff w:val="nothing"/>
      <w:lvlText w:val="%1、"/>
      <w:lvlJc w:val="left"/>
    </w:lvl>
  </w:abstractNum>
  <w:abstractNum w:abstractNumId="1">
    <w:nsid w:val="655C11D6"/>
    <w:multiLevelType w:val="singleLevel"/>
    <w:tmpl w:val="655C11D6"/>
    <w:lvl w:ilvl="0" w:tentative="0">
      <w:start w:val="3"/>
      <w:numFmt w:val="chineseCounting"/>
      <w:suff w:val="nothing"/>
      <w:lvlText w:val="%1、"/>
      <w:lvlJc w:val="left"/>
    </w:lvl>
  </w:abstractNum>
  <w:abstractNum w:abstractNumId="2">
    <w:nsid w:val="655C124C"/>
    <w:multiLevelType w:val="singleLevel"/>
    <w:tmpl w:val="655C124C"/>
    <w:lvl w:ilvl="0" w:tentative="0">
      <w:start w:val="4"/>
      <w:numFmt w:val="chineseCounting"/>
      <w:suff w:val="nothing"/>
      <w:lvlText w:val="%1、"/>
      <w:lvlJc w:val="left"/>
    </w:lvl>
  </w:abstractNum>
  <w:abstractNum w:abstractNumId="3">
    <w:nsid w:val="656551CD"/>
    <w:multiLevelType w:val="singleLevel"/>
    <w:tmpl w:val="656551CD"/>
    <w:lvl w:ilvl="0" w:tentative="0">
      <w:start w:val="2"/>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024013"/>
    <w:rsid w:val="250835A4"/>
    <w:rsid w:val="28693DBE"/>
    <w:rsid w:val="30534DD6"/>
    <w:rsid w:val="3DEB1CD8"/>
    <w:rsid w:val="4D420B2F"/>
    <w:rsid w:val="529017C2"/>
    <w:rsid w:val="660B2CBA"/>
    <w:rsid w:val="6DB83A3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TotalTime>1</TotalTime>
  <ScaleCrop>false</ScaleCrop>
  <LinksUpToDate>false</LinksUpToDate>
  <CharactersWithSpaces>0</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2023-11-20T07:03:00Z</dcterms:created>
  <dc:creator>Administrator</dc:creator>
  <cp:lastModifiedBy>Administrator</cp:lastModifiedBy>
  <dcterms:modified xsi:type="dcterms:W3CDTF">2024-07-02T01:26:48Z</dcterms:modified>
  <dc:title>行政许可事项实施规范编制说明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FE359C6A333442E7961040E3DB7DE90C</vt:lpwstr>
  </property>
</Properties>
</file>