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临沧市临翔区财政局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临沧市临翔区财政局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《中华人民共和国会计法》</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sectPr>
          <w:footerReference r:id="rId5"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trike w:val="0"/>
          <w:dstrike w:val="0"/>
          <w:color w:val="auto"/>
          <w:sz w:val="32"/>
          <w:szCs w:val="32"/>
          <w:lang w:val="en-US"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4"/>
          <w:szCs w:val="44"/>
          <w:lang w:val="en-US"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（县级财政部门）</w:t>
      </w:r>
      <w:r>
        <w:rPr>
          <w:rFonts w:hint="eastAsia" w:ascii="方正小标宋简体" w:hAnsi="方正小标宋简体" w:eastAsia="方正小标宋简体" w:cs="方正小标宋简体"/>
          <w:b w:val="0"/>
          <w:bCs w:val="0"/>
          <w:strike w:val="0"/>
          <w:dstrike w:val="0"/>
          <w:color w:val="auto"/>
          <w:sz w:val="44"/>
          <w:szCs w:val="44"/>
          <w:lang w:val="en-US" w:eastAsia="zh-CN"/>
        </w:rPr>
        <w:t>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strike w:val="0"/>
          <w:dstrike w:val="0"/>
          <w:color w:val="auto"/>
          <w:sz w:val="32"/>
          <w:szCs w:val="32"/>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（七）实施机关：</w:t>
      </w:r>
      <w:r>
        <w:rPr>
          <w:rFonts w:hint="eastAsia" w:ascii="仿宋_GB2312" w:hAnsi="仿宋_GB2312" w:eastAsia="仿宋_GB2312" w:cs="仿宋_GB2312"/>
          <w:b w:val="0"/>
          <w:bCs w:val="0"/>
          <w:strike w:val="0"/>
          <w:dstrike w:val="0"/>
          <w:color w:val="auto"/>
          <w:sz w:val="32"/>
          <w:szCs w:val="32"/>
          <w:lang w:val="en-US" w:eastAsia="zh-CN"/>
        </w:rPr>
        <w:t>临沧市临翔区财政局</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（八）审批层级：</w:t>
      </w:r>
      <w:r>
        <w:rPr>
          <w:rFonts w:hint="eastAsia" w:ascii="仿宋_GB2312" w:hAnsi="仿宋_GB2312" w:eastAsia="仿宋_GB2312" w:cs="仿宋_GB2312"/>
          <w:b w:val="0"/>
          <w:bCs w:val="0"/>
          <w:strike w:val="0"/>
          <w:dstrike w:val="0"/>
          <w:color w:val="auto"/>
          <w:sz w:val="32"/>
          <w:szCs w:val="32"/>
          <w:lang w:val="en-US" w:eastAsia="zh-CN"/>
        </w:rPr>
        <w:t>区级</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（九）行使层级：</w:t>
      </w:r>
      <w:r>
        <w:rPr>
          <w:rFonts w:hint="eastAsia" w:ascii="仿宋_GB2312" w:hAnsi="仿宋_GB2312" w:eastAsia="仿宋_GB2312" w:cs="仿宋_GB2312"/>
          <w:b w:val="0"/>
          <w:bCs w:val="0"/>
          <w:strike w:val="0"/>
          <w:dstrike w:val="0"/>
          <w:color w:val="auto"/>
          <w:sz w:val="32"/>
          <w:szCs w:val="32"/>
          <w:lang w:val="en-US" w:eastAsia="zh-CN"/>
        </w:rPr>
        <w:t>区级</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（十一）受理层级：</w:t>
      </w:r>
      <w:r>
        <w:rPr>
          <w:rFonts w:hint="eastAsia" w:ascii="仿宋_GB2312" w:hAnsi="仿宋_GB2312" w:eastAsia="仿宋_GB2312" w:cs="仿宋_GB2312"/>
          <w:b w:val="0"/>
          <w:bCs w:val="0"/>
          <w:strike w:val="0"/>
          <w:dstrike w:val="0"/>
          <w:color w:val="auto"/>
          <w:sz w:val="32"/>
          <w:szCs w:val="32"/>
          <w:lang w:val="en-US" w:eastAsia="zh-CN"/>
        </w:rPr>
        <w:t>区级</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eastAsia="zh-CN"/>
        </w:rPr>
        <w:t>全部要素全国统一</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2.专职从业人员不少于3名，专职从业人员是指仅在一个代理记账机构从事代理记账业务的人员；</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本条第一款所称专职从业人员是指仅在一个代理记账机构从事代理记账业务的人员。</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highlight w:val="none"/>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楷体_GB2312" w:hAnsi="楷体_GB2312" w:eastAsia="楷体_GB2312" w:cs="楷体_GB2312"/>
          <w:b w:val="0"/>
          <w:bCs w:val="0"/>
          <w:strike w:val="0"/>
          <w:dstrike w:val="0"/>
          <w:color w:val="auto"/>
          <w:sz w:val="32"/>
          <w:szCs w:val="32"/>
          <w:highlight w:val="none"/>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楷体_GB2312" w:hAnsi="楷体_GB2312" w:eastAsia="楷体_GB2312" w:cs="楷体_GB2312"/>
          <w:b w:val="0"/>
          <w:bCs w:val="0"/>
          <w:strike w:val="0"/>
          <w:dstrike w:val="0"/>
          <w:color w:val="auto"/>
          <w:sz w:val="32"/>
          <w:szCs w:val="32"/>
          <w:highlight w:val="none"/>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w:t>
      </w:r>
      <w:r>
        <w:rPr>
          <w:rFonts w:hint="eastAsia" w:ascii="仿宋_GB2312" w:hAnsi="仿宋_GB2312" w:eastAsia="仿宋_GB2312" w:cs="仿宋_GB2312"/>
          <w:color w:val="auto"/>
          <w:sz w:val="32"/>
          <w:szCs w:val="32"/>
          <w:lang w:eastAsia="zh-CN"/>
        </w:rPr>
        <w:t>在自贸试验区内</w:t>
      </w:r>
      <w:r>
        <w:rPr>
          <w:rFonts w:hint="eastAsia" w:ascii="仿宋_GB2312" w:hAnsi="仿宋_GB2312" w:eastAsia="仿宋_GB2312" w:cs="仿宋_GB2312"/>
          <w:b w:val="0"/>
          <w:bCs w:val="0"/>
          <w:strike w:val="0"/>
          <w:dstrike w:val="0"/>
          <w:color w:val="auto"/>
          <w:sz w:val="32"/>
          <w:szCs w:val="32"/>
          <w:lang w:val="en-US" w:eastAsia="zh-CN"/>
        </w:rPr>
        <w:t>取消审批。</w:t>
      </w:r>
      <w:r>
        <w:rPr>
          <w:rFonts w:hint="eastAsia" w:ascii="仿宋_GB2312" w:hAnsi="仿宋_GB2312" w:eastAsia="仿宋_GB2312" w:cs="仿宋_GB2312"/>
          <w:color w:val="auto"/>
          <w:sz w:val="32"/>
          <w:szCs w:val="32"/>
          <w:lang w:eastAsia="zh-CN"/>
        </w:rPr>
        <w:t>在自贸试验区内取消中介机构从事代理记账业务审批，代理记账机构取得营业执照即可接受其他单位委托，按照《中华人民共和国会计法》《代理记账管理办法》（财政部令第</w:t>
      </w:r>
      <w:r>
        <w:rPr>
          <w:rFonts w:hint="eastAsia" w:ascii="仿宋_GB2312" w:hAnsi="仿宋_GB2312" w:eastAsia="仿宋_GB2312" w:cs="仿宋_GB2312"/>
          <w:color w:val="auto"/>
          <w:sz w:val="32"/>
          <w:szCs w:val="32"/>
          <w:lang w:val="en-US" w:eastAsia="zh-CN"/>
        </w:rPr>
        <w:t>98号</w:t>
      </w:r>
      <w:r>
        <w:rPr>
          <w:rFonts w:hint="eastAsia" w:ascii="仿宋_GB2312" w:hAnsi="仿宋_GB2312" w:eastAsia="仿宋_GB2312" w:cs="仿宋_GB2312"/>
          <w:color w:val="auto"/>
          <w:sz w:val="32"/>
          <w:szCs w:val="32"/>
          <w:lang w:eastAsia="zh-CN"/>
        </w:rPr>
        <w:t>）等法律法规和国家统一的会计制度的规定直接开展代理记账业务，并接受县级财政部门的管理。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楷体_GB2312" w:hAnsi="楷体_GB2312" w:eastAsia="楷体_GB2312" w:cs="楷体_GB2312"/>
          <w:b w:val="0"/>
          <w:bCs w:val="0"/>
          <w:strike w:val="0"/>
          <w:dstrike w:val="0"/>
          <w:color w:val="auto"/>
          <w:sz w:val="32"/>
          <w:szCs w:val="32"/>
          <w:highlight w:val="none"/>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1.联合监管。省财政厅与省</w:t>
      </w:r>
      <w:r>
        <w:rPr>
          <w:rFonts w:hint="eastAsia" w:ascii="仿宋_GB2312" w:hAnsi="仿宋_GB2312" w:eastAsia="仿宋_GB2312" w:cs="仿宋_GB2312"/>
          <w:color w:val="auto"/>
          <w:sz w:val="32"/>
          <w:szCs w:val="32"/>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2"/>
          <w:szCs w:val="32"/>
          <w:lang w:val="en-US" w:eastAsia="zh-CN"/>
        </w:rPr>
        <w:t>联合检查方案，</w:t>
      </w:r>
      <w:r>
        <w:rPr>
          <w:rFonts w:hint="eastAsia" w:ascii="仿宋_GB2312" w:hAnsi="仿宋_GB2312" w:eastAsia="仿宋_GB2312" w:cs="仿宋_GB2312"/>
          <w:color w:val="auto"/>
          <w:sz w:val="32"/>
          <w:szCs w:val="32"/>
          <w:lang w:val="en-US" w:eastAsia="zh-CN"/>
        </w:rPr>
        <w:t>部署县级财政部门、市场监管部门和税务部门开展联合检查工作，主要对代理记账机构</w:t>
      </w:r>
      <w:r>
        <w:rPr>
          <w:rFonts w:hint="eastAsia" w:ascii="仿宋_GB2312" w:eastAsia="仿宋_GB2312"/>
          <w:color w:val="auto"/>
          <w:sz w:val="32"/>
          <w:szCs w:val="32"/>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2"/>
          <w:szCs w:val="32"/>
          <w:lang w:eastAsia="zh-CN"/>
        </w:rPr>
        <w:t>县（市、区）市场监管部门在完成代理记账中介机构登记注册后，及时</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lang w:eastAsia="zh-CN"/>
        </w:rPr>
        <w:t>同级财政部门推送共享代理记账中介机构登记注册信息，财政部门充分运用共享信息加强监管。</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2.《云南省财政厅关于在全省实施中介机构从事代理记账业务行政审批告知承诺改革的通知》（云财会〔2021〕33号）</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（5）中介机构从事代理记账业务行政审批告知承诺书。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（二）中介服务事项名称：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（三）是否需要现场勘验：</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（十）是否实行告知承诺办理：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（一）承诺受理时限：当</w:t>
      </w:r>
      <w:r>
        <w:rPr>
          <w:rFonts w:hint="eastAsia" w:ascii="仿宋_GB2312" w:hAnsi="仿宋_GB2312" w:eastAsia="仿宋_GB2312" w:cs="仿宋_GB2312"/>
          <w:b w:val="0"/>
          <w:bCs w:val="0"/>
          <w:strike w:val="0"/>
          <w:dstrike w:val="0"/>
          <w:color w:val="auto"/>
          <w:sz w:val="32"/>
          <w:szCs w:val="32"/>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行政许可后年检</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行政许可后年报</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临沧市临翔区财政局</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firstLine="640" w:firstLineChars="200"/>
        <w:jc w:val="both"/>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both"/>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仿宋_GB2312" w:hAnsi="仿宋_GB2312" w:eastAsia="仿宋_GB2312" w:cs="仿宋_GB2312"/>
          <w:b w:val="0"/>
          <w:bCs w:val="0"/>
          <w:strike w:val="0"/>
          <w:dstrike w:val="0"/>
          <w:color w:val="auto"/>
          <w:sz w:val="32"/>
          <w:szCs w:val="32"/>
          <w:highlight w:val="none"/>
          <w:lang w:val="en-US" w:eastAsia="zh-CN"/>
        </w:rPr>
        <w:t>根据《</w:t>
      </w:r>
      <w:r>
        <w:rPr>
          <w:rFonts w:hint="eastAsia" w:ascii="仿宋_GB2312" w:hAnsi="仿宋_GB2312" w:eastAsia="仿宋_GB2312" w:cs="仿宋_GB2312"/>
          <w:color w:val="auto"/>
          <w:sz w:val="32"/>
          <w:szCs w:val="32"/>
        </w:rPr>
        <w:t>国务院关于</w:t>
      </w:r>
      <w:r>
        <w:rPr>
          <w:rFonts w:hint="eastAsia" w:ascii="仿宋_GB2312" w:hAnsi="仿宋_GB2312" w:eastAsia="仿宋_GB2312" w:cs="仿宋_GB2312"/>
          <w:color w:val="auto"/>
          <w:sz w:val="32"/>
          <w:szCs w:val="32"/>
          <w:lang w:eastAsia="zh-CN"/>
        </w:rPr>
        <w:t>深化</w:t>
      </w:r>
      <w:r>
        <w:rPr>
          <w:rFonts w:hint="eastAsia" w:ascii="仿宋_GB2312" w:hAnsi="仿宋_GB2312" w:eastAsia="仿宋_GB2312" w:cs="仿宋_GB2312"/>
          <w:color w:val="auto"/>
          <w:sz w:val="32"/>
          <w:szCs w:val="32"/>
        </w:rPr>
        <w:t>“证照分离”改革</w:t>
      </w:r>
      <w:r>
        <w:rPr>
          <w:rFonts w:hint="eastAsia" w:ascii="仿宋_GB2312" w:hAnsi="仿宋_GB2312" w:eastAsia="仿宋_GB2312" w:cs="仿宋_GB2312"/>
          <w:color w:val="auto"/>
          <w:sz w:val="32"/>
          <w:szCs w:val="32"/>
          <w:lang w:eastAsia="zh-CN"/>
        </w:rPr>
        <w:t>进一步激发市场主体发展活力</w:t>
      </w:r>
      <w:r>
        <w:rPr>
          <w:rFonts w:hint="eastAsia" w:ascii="仿宋_GB2312" w:hAnsi="仿宋_GB2312" w:eastAsia="仿宋_GB2312" w:cs="仿宋_GB2312"/>
          <w:color w:val="auto"/>
          <w:sz w:val="32"/>
          <w:szCs w:val="32"/>
        </w:rPr>
        <w:t>的通知》（国发〔20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，该事项在中国（云南）自由贸易试验区取消审批。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2"/>
          <w:szCs w:val="32"/>
          <w:highlight w:val="none"/>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4"/>
          <w:szCs w:val="44"/>
          <w:lang w:val="en-US"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（县级财政部门）</w:t>
      </w:r>
      <w:r>
        <w:rPr>
          <w:rFonts w:hint="eastAsia" w:ascii="方正小标宋简体" w:hAnsi="方正小标宋简体" w:eastAsia="方正小标宋简体" w:cs="方正小标宋简体"/>
          <w:b w:val="0"/>
          <w:bCs w:val="0"/>
          <w:strike w:val="0"/>
          <w:dstrike w:val="0"/>
          <w:color w:val="auto"/>
          <w:sz w:val="44"/>
          <w:szCs w:val="44"/>
          <w:lang w:val="en-US" w:eastAsia="zh-CN"/>
        </w:rPr>
        <w:t>00011310100301</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仿宋_GB2312" w:hAnsi="仿宋_GB2312" w:eastAsia="仿宋_GB2312" w:cs="仿宋_GB2312"/>
          <w:b w:val="0"/>
          <w:bCs w:val="0"/>
          <w:strike w:val="0"/>
          <w:dstrike w:val="0"/>
          <w:color w:val="auto"/>
          <w:sz w:val="44"/>
          <w:szCs w:val="4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strike w:val="0"/>
          <w:dstrike w:val="0"/>
          <w:color w:val="auto"/>
          <w:sz w:val="32"/>
          <w:szCs w:val="32"/>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（七）实施机关：临沧市临翔区财政局</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（八）审批层级：</w:t>
      </w:r>
      <w:r>
        <w:rPr>
          <w:rFonts w:hint="eastAsia" w:ascii="仿宋_GB2312" w:hAnsi="仿宋_GB2312" w:eastAsia="仿宋_GB2312" w:cs="仿宋_GB2312"/>
          <w:b w:val="0"/>
          <w:bCs w:val="0"/>
          <w:strike w:val="0"/>
          <w:dstrike w:val="0"/>
          <w:color w:val="auto"/>
          <w:sz w:val="32"/>
          <w:szCs w:val="32"/>
          <w:lang w:val="en-US" w:eastAsia="zh-CN"/>
        </w:rPr>
        <w:t>区级</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（九）行使层级：</w:t>
      </w:r>
      <w:r>
        <w:rPr>
          <w:rFonts w:hint="eastAsia" w:ascii="仿宋_GB2312" w:hAnsi="仿宋_GB2312" w:eastAsia="仿宋_GB2312" w:cs="仿宋_GB2312"/>
          <w:b w:val="0"/>
          <w:bCs w:val="0"/>
          <w:strike w:val="0"/>
          <w:dstrike w:val="0"/>
          <w:color w:val="auto"/>
          <w:sz w:val="32"/>
          <w:szCs w:val="32"/>
          <w:lang w:val="en-US" w:eastAsia="zh-CN"/>
        </w:rPr>
        <w:t>区级</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（十一）受理层级：</w:t>
      </w:r>
      <w:r>
        <w:rPr>
          <w:rFonts w:hint="eastAsia" w:ascii="仿宋_GB2312" w:hAnsi="仿宋_GB2312" w:eastAsia="仿宋_GB2312" w:cs="仿宋_GB2312"/>
          <w:b w:val="0"/>
          <w:bCs w:val="0"/>
          <w:strike w:val="0"/>
          <w:dstrike w:val="0"/>
          <w:color w:val="auto"/>
          <w:sz w:val="32"/>
          <w:szCs w:val="32"/>
          <w:lang w:val="en-US" w:eastAsia="zh-CN"/>
        </w:rPr>
        <w:t>区级</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中介机构从事代理记账业务审批</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其他型</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申请代理记账资格的机构应当同时具备以下条件： </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1.为依法设立的企业； </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2.专职从业人员不少于3名； </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本条第一款所称专职从业人员是指仅在一个代理记账机构从事代理记账业务的人员。</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highlight w:val="none"/>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楷体_GB2312" w:hAnsi="楷体_GB2312" w:eastAsia="楷体_GB2312" w:cs="楷体_GB2312"/>
          <w:b w:val="0"/>
          <w:bCs w:val="0"/>
          <w:strike w:val="0"/>
          <w:dstrike w:val="0"/>
          <w:color w:val="auto"/>
          <w:sz w:val="32"/>
          <w:szCs w:val="32"/>
          <w:highlight w:val="none"/>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楷体_GB2312" w:hAnsi="楷体_GB2312" w:eastAsia="楷体_GB2312" w:cs="楷体_GB2312"/>
          <w:b w:val="0"/>
          <w:bCs w:val="0"/>
          <w:strike w:val="0"/>
          <w:dstrike w:val="0"/>
          <w:color w:val="auto"/>
          <w:sz w:val="32"/>
          <w:szCs w:val="32"/>
          <w:highlight w:val="none"/>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在自贸试验区内取消审批。在自贸试验区内取消中介机构从事代理记账业务审批，代理记账机构取得营业执照即可接受其他单位委托，按照《中华人民共和国会计法》《代理记账管理办法》（财政部令第98号）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楷体_GB2312" w:hAnsi="楷体_GB2312" w:eastAsia="楷体_GB2312" w:cs="楷体_GB2312"/>
          <w:b w:val="0"/>
          <w:bCs w:val="0"/>
          <w:strike w:val="0"/>
          <w:dstrike w:val="0"/>
          <w:color w:val="auto"/>
          <w:sz w:val="32"/>
          <w:szCs w:val="32"/>
          <w:highlight w:val="none"/>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1.联合监管。省财政厅与省</w:t>
      </w:r>
      <w:r>
        <w:rPr>
          <w:rFonts w:hint="eastAsia" w:ascii="仿宋_GB2312" w:hAnsi="仿宋_GB2312" w:eastAsia="仿宋_GB2312" w:cs="仿宋_GB2312"/>
          <w:color w:val="auto"/>
          <w:sz w:val="32"/>
          <w:szCs w:val="32"/>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2"/>
          <w:szCs w:val="32"/>
          <w:lang w:val="en-US" w:eastAsia="zh-CN"/>
        </w:rPr>
        <w:t>联合检查方案，</w:t>
      </w:r>
      <w:r>
        <w:rPr>
          <w:rFonts w:hint="eastAsia" w:ascii="仿宋_GB2312" w:hAnsi="仿宋_GB2312" w:eastAsia="仿宋_GB2312" w:cs="仿宋_GB2312"/>
          <w:color w:val="auto"/>
          <w:sz w:val="32"/>
          <w:szCs w:val="32"/>
          <w:lang w:val="en-US" w:eastAsia="zh-CN"/>
        </w:rPr>
        <w:t>部署县级财政部门、市场监管部门和税务部门开展联合检查工作，主要对代理记账机构</w:t>
      </w:r>
      <w:r>
        <w:rPr>
          <w:rFonts w:hint="eastAsia" w:ascii="仿宋_GB2312" w:eastAsia="仿宋_GB2312"/>
          <w:color w:val="auto"/>
          <w:sz w:val="32"/>
          <w:szCs w:val="32"/>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2"/>
          <w:szCs w:val="32"/>
          <w:lang w:eastAsia="zh-CN"/>
        </w:rPr>
        <w:t>县（市、区）市场监管部门在完成代理记账中介机构登记注册后，及时</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lang w:eastAsia="zh-CN"/>
        </w:rPr>
        <w:t>同级财政部门推送共享代理记账中介机构登记注册信息，财政部门充分运用共享信息加强监管。</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2.《云南省财政厅关于在全省实施中介机构从事代理记账业务行政审批告知承诺改革的通知》（云财会〔2021〕33号）</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（5）中介机构从事代理记账业务行政审批告知承诺书。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highlight w:val="none"/>
          <w:lang w:val="en-US" w:eastAsia="zh-CN"/>
        </w:rPr>
        <w:t>（二）中介服务事项名称：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（三）是否需要现场勘验：</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（十）是否实行告知承诺办理：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（一）承诺受理时限：当</w:t>
      </w:r>
      <w:r>
        <w:rPr>
          <w:rFonts w:hint="eastAsia" w:ascii="仿宋_GB2312" w:hAnsi="仿宋_GB2312" w:eastAsia="仿宋_GB2312" w:cs="仿宋_GB2312"/>
          <w:b w:val="0"/>
          <w:bCs w:val="0"/>
          <w:strike w:val="0"/>
          <w:dstrike w:val="0"/>
          <w:color w:val="auto"/>
          <w:sz w:val="32"/>
          <w:szCs w:val="32"/>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default"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仿宋_GB2312" w:hAnsi="仿宋_GB2312" w:eastAsia="仿宋_GB2312" w:cs="仿宋_GB2312"/>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kern w:val="2"/>
          <w:sz w:val="32"/>
          <w:szCs w:val="32"/>
          <w:lang w:val="en-US" w:eastAsia="zh-CN" w:bidi="ar-SA"/>
        </w:rPr>
        <w:t>（一）</w:t>
      </w:r>
      <w:r>
        <w:rPr>
          <w:rFonts w:hint="eastAsia" w:ascii="楷体_GB2312" w:hAnsi="楷体_GB2312" w:eastAsia="楷体_GB2312" w:cs="楷体_GB2312"/>
          <w:b w:val="0"/>
          <w:bCs w:val="0"/>
          <w:strike w:val="0"/>
          <w:dstrike w:val="0"/>
          <w:color w:val="auto"/>
          <w:sz w:val="32"/>
          <w:szCs w:val="32"/>
          <w:lang w:val="en-US" w:eastAsia="zh-CN"/>
        </w:rPr>
        <w:t>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kern w:val="2"/>
          <w:sz w:val="32"/>
          <w:szCs w:val="32"/>
          <w:lang w:val="en-US" w:eastAsia="zh-CN" w:bidi="ar-SA"/>
        </w:rPr>
        <w:t>（二）</w:t>
      </w:r>
      <w:r>
        <w:rPr>
          <w:rFonts w:hint="eastAsia" w:ascii="楷体_GB2312" w:hAnsi="楷体_GB2312" w:eastAsia="楷体_GB2312" w:cs="楷体_GB2312"/>
          <w:b w:val="0"/>
          <w:bCs w:val="0"/>
          <w:strike w:val="0"/>
          <w:dstrike w:val="0"/>
          <w:color w:val="auto"/>
          <w:sz w:val="32"/>
          <w:szCs w:val="32"/>
          <w:lang w:val="en-US" w:eastAsia="zh-CN"/>
        </w:rPr>
        <w:t>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kern w:val="2"/>
          <w:sz w:val="32"/>
          <w:szCs w:val="32"/>
          <w:lang w:val="en-US" w:eastAsia="zh-CN" w:bidi="ar-SA"/>
        </w:rPr>
        <w:t>（三）</w:t>
      </w:r>
      <w:r>
        <w:rPr>
          <w:rFonts w:hint="eastAsia" w:ascii="楷体_GB2312" w:hAnsi="楷体_GB2312" w:eastAsia="楷体_GB2312" w:cs="楷体_GB2312"/>
          <w:b w:val="0"/>
          <w:bCs w:val="0"/>
          <w:strike w:val="0"/>
          <w:dstrike w:val="0"/>
          <w:color w:val="auto"/>
          <w:sz w:val="32"/>
          <w:szCs w:val="32"/>
          <w:lang w:val="en-US" w:eastAsia="zh-CN"/>
        </w:rPr>
        <w:t>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kern w:val="2"/>
          <w:sz w:val="32"/>
          <w:szCs w:val="32"/>
          <w:lang w:val="en-US" w:eastAsia="zh-CN" w:bidi="ar-SA"/>
        </w:rPr>
        <w:t>（四）</w:t>
      </w:r>
      <w:r>
        <w:rPr>
          <w:rFonts w:hint="eastAsia" w:ascii="楷体_GB2312" w:hAnsi="楷体_GB2312" w:eastAsia="楷体_GB2312" w:cs="楷体_GB2312"/>
          <w:b w:val="0"/>
          <w:bCs w:val="0"/>
          <w:strike w:val="0"/>
          <w:dstrike w:val="0"/>
          <w:color w:val="auto"/>
          <w:sz w:val="32"/>
          <w:szCs w:val="32"/>
          <w:lang w:val="en-US" w:eastAsia="zh-CN"/>
        </w:rPr>
        <w:t>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kern w:val="2"/>
          <w:sz w:val="32"/>
          <w:szCs w:val="32"/>
          <w:lang w:val="en-US" w:eastAsia="zh-CN" w:bidi="ar-SA"/>
        </w:rPr>
        <w:t>（五）</w:t>
      </w:r>
      <w:r>
        <w:rPr>
          <w:rFonts w:hint="eastAsia" w:ascii="楷体_GB2312" w:hAnsi="楷体_GB2312" w:eastAsia="楷体_GB2312" w:cs="楷体_GB2312"/>
          <w:b w:val="0"/>
          <w:bCs w:val="0"/>
          <w:strike w:val="0"/>
          <w:dstrike w:val="0"/>
          <w:color w:val="auto"/>
          <w:sz w:val="32"/>
          <w:szCs w:val="32"/>
          <w:lang w:val="en-US" w:eastAsia="zh-CN"/>
        </w:rPr>
        <w:t>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kern w:val="2"/>
          <w:sz w:val="32"/>
          <w:szCs w:val="32"/>
          <w:lang w:val="en-US" w:eastAsia="zh-CN" w:bidi="ar-SA"/>
        </w:rPr>
        <w:t>（六）</w:t>
      </w:r>
      <w:r>
        <w:rPr>
          <w:rFonts w:hint="eastAsia" w:ascii="楷体_GB2312" w:hAnsi="楷体_GB2312" w:eastAsia="楷体_GB2312" w:cs="楷体_GB2312"/>
          <w:b w:val="0"/>
          <w:bCs w:val="0"/>
          <w:strike w:val="0"/>
          <w:dstrike w:val="0"/>
          <w:color w:val="auto"/>
          <w:sz w:val="32"/>
          <w:szCs w:val="32"/>
          <w:lang w:val="en-US" w:eastAsia="zh-CN"/>
        </w:rPr>
        <w:t>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kern w:val="2"/>
          <w:sz w:val="32"/>
          <w:szCs w:val="32"/>
          <w:lang w:val="en-US" w:eastAsia="zh-CN" w:bidi="ar-SA"/>
        </w:rPr>
        <w:t>（七）</w:t>
      </w:r>
      <w:r>
        <w:rPr>
          <w:rFonts w:hint="eastAsia" w:ascii="楷体_GB2312" w:hAnsi="楷体_GB2312" w:eastAsia="楷体_GB2312" w:cs="楷体_GB2312"/>
          <w:b w:val="0"/>
          <w:bCs w:val="0"/>
          <w:strike w:val="0"/>
          <w:dstrike w:val="0"/>
          <w:color w:val="auto"/>
          <w:sz w:val="32"/>
          <w:szCs w:val="32"/>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kern w:val="2"/>
          <w:sz w:val="32"/>
          <w:szCs w:val="32"/>
          <w:lang w:val="en-US" w:eastAsia="zh-CN" w:bidi="ar-SA"/>
        </w:rPr>
        <w:t>（八）</w:t>
      </w:r>
      <w:r>
        <w:rPr>
          <w:rFonts w:hint="eastAsia" w:ascii="楷体_GB2312" w:hAnsi="楷体_GB2312" w:eastAsia="楷体_GB2312" w:cs="楷体_GB2312"/>
          <w:b w:val="0"/>
          <w:bCs w:val="0"/>
          <w:strike w:val="0"/>
          <w:dstrike w:val="0"/>
          <w:color w:val="auto"/>
          <w:sz w:val="32"/>
          <w:szCs w:val="32"/>
          <w:lang w:val="en-US" w:eastAsia="zh-CN"/>
        </w:rPr>
        <w:t>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楷体_GB2312" w:cs="仿宋_GB2312"/>
          <w:strike w:val="0"/>
          <w:dstrike w:val="0"/>
          <w:color w:val="auto"/>
          <w:kern w:val="2"/>
          <w:sz w:val="32"/>
          <w:szCs w:val="32"/>
          <w:lang w:val="en-US" w:eastAsia="zh-CN" w:bidi="ar-SA"/>
        </w:rPr>
        <w:t>（一）</w:t>
      </w:r>
      <w:r>
        <w:rPr>
          <w:rFonts w:hint="eastAsia" w:ascii="楷体_GB2312" w:hAnsi="楷体_GB2312" w:eastAsia="楷体_GB2312" w:cs="楷体_GB2312"/>
          <w:b w:val="0"/>
          <w:bCs w:val="0"/>
          <w:strike w:val="0"/>
          <w:dstrike w:val="0"/>
          <w:color w:val="auto"/>
          <w:sz w:val="32"/>
          <w:szCs w:val="32"/>
          <w:lang w:val="en-US" w:eastAsia="zh-CN"/>
        </w:rPr>
        <w:t>有无年报要求</w:t>
      </w:r>
      <w:bookmarkStart w:id="0" w:name="_GoBack"/>
      <w:bookmarkEnd w:id="0"/>
      <w:r>
        <w:rPr>
          <w:rFonts w:hint="eastAsia" w:ascii="楷体_GB2312" w:hAnsi="楷体_GB2312" w:eastAsia="楷体_GB2312" w:cs="楷体_GB2312"/>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楷体_GB2312" w:cs="仿宋_GB2312"/>
          <w:strike w:val="0"/>
          <w:dstrike w:val="0"/>
          <w:color w:val="auto"/>
          <w:kern w:val="2"/>
          <w:sz w:val="32"/>
          <w:szCs w:val="32"/>
          <w:lang w:val="en-US" w:eastAsia="zh-CN" w:bidi="ar-SA"/>
        </w:rPr>
        <w:t>（二）</w:t>
      </w:r>
      <w:r>
        <w:rPr>
          <w:rFonts w:hint="eastAsia" w:ascii="楷体_GB2312" w:hAnsi="楷体_GB2312" w:eastAsia="楷体_GB2312" w:cs="楷体_GB2312"/>
          <w:b w:val="0"/>
          <w:bCs w:val="0"/>
          <w:strike w:val="0"/>
          <w:dstrike w:val="0"/>
          <w:color w:val="auto"/>
          <w:sz w:val="32"/>
          <w:szCs w:val="32"/>
          <w:lang w:val="en-US" w:eastAsia="zh-CN"/>
        </w:rPr>
        <w:t>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楷体_GB2312" w:cs="仿宋_GB2312"/>
          <w:b w:val="0"/>
          <w:bCs w:val="0"/>
          <w:strike w:val="0"/>
          <w:dstrike w:val="0"/>
          <w:color w:val="auto"/>
          <w:kern w:val="2"/>
          <w:sz w:val="32"/>
          <w:szCs w:val="32"/>
          <w:lang w:val="en-US" w:eastAsia="zh-CN" w:bidi="ar-SA"/>
        </w:rPr>
        <w:t>（三）</w:t>
      </w:r>
      <w:r>
        <w:rPr>
          <w:rFonts w:hint="eastAsia" w:ascii="楷体_GB2312" w:hAnsi="楷体_GB2312" w:eastAsia="楷体_GB2312" w:cs="楷体_GB2312"/>
          <w:b w:val="0"/>
          <w:bCs w:val="0"/>
          <w:strike w:val="0"/>
          <w:dstrike w:val="0"/>
          <w:color w:val="auto"/>
          <w:sz w:val="32"/>
          <w:szCs w:val="32"/>
          <w:lang w:val="en-US" w:eastAsia="zh-CN"/>
        </w:rPr>
        <w:t>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楷体_GB2312" w:cs="仿宋_GB2312"/>
          <w:strike w:val="0"/>
          <w:dstrike w:val="0"/>
          <w:color w:val="auto"/>
          <w:kern w:val="2"/>
          <w:sz w:val="32"/>
          <w:szCs w:val="32"/>
          <w:lang w:val="en-US" w:eastAsia="zh-CN" w:bidi="ar-SA"/>
        </w:rPr>
        <w:t>（四）</w:t>
      </w:r>
      <w:r>
        <w:rPr>
          <w:rFonts w:hint="eastAsia" w:ascii="楷体_GB2312" w:hAnsi="楷体_GB2312" w:eastAsia="楷体_GB2312" w:cs="楷体_GB2312"/>
          <w:b w:val="0"/>
          <w:bCs w:val="0"/>
          <w:strike w:val="0"/>
          <w:dstrike w:val="0"/>
          <w:color w:val="auto"/>
          <w:sz w:val="32"/>
          <w:szCs w:val="32"/>
          <w:lang w:val="en-US" w:eastAsia="zh-CN"/>
        </w:rPr>
        <w:t>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临沧市临翔区财政局</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left="0" w:leftChars="0"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960" w:firstLineChars="300"/>
        <w:jc w:val="both"/>
        <w:textAlignment w:val="auto"/>
        <w:outlineLvl w:val="1"/>
        <w:rPr>
          <w:color w:val="auto"/>
          <w:sz w:val="32"/>
          <w:szCs w:val="32"/>
        </w:rPr>
      </w:pPr>
      <w:r>
        <w:rPr>
          <w:rFonts w:hint="eastAsia" w:ascii="仿宋_GB2312" w:hAnsi="仿宋_GB2312" w:eastAsia="仿宋_GB2312" w:cs="仿宋_GB2312"/>
          <w:b w:val="0"/>
          <w:bCs w:val="0"/>
          <w:strike w:val="0"/>
          <w:dstrike w:val="0"/>
          <w:color w:val="auto"/>
          <w:sz w:val="32"/>
          <w:szCs w:val="32"/>
          <w:highlight w:val="none"/>
          <w:lang w:val="en-US" w:eastAsia="zh-CN"/>
        </w:rPr>
        <w:t>根据《</w:t>
      </w:r>
      <w:r>
        <w:rPr>
          <w:rFonts w:hint="eastAsia" w:ascii="仿宋_GB2312" w:hAnsi="仿宋_GB2312" w:eastAsia="仿宋_GB2312" w:cs="仿宋_GB2312"/>
          <w:color w:val="auto"/>
          <w:sz w:val="32"/>
          <w:szCs w:val="32"/>
        </w:rPr>
        <w:t>国务院关于</w:t>
      </w:r>
      <w:r>
        <w:rPr>
          <w:rFonts w:hint="eastAsia" w:ascii="仿宋_GB2312" w:hAnsi="仿宋_GB2312" w:eastAsia="仿宋_GB2312" w:cs="仿宋_GB2312"/>
          <w:color w:val="auto"/>
          <w:sz w:val="32"/>
          <w:szCs w:val="32"/>
          <w:lang w:eastAsia="zh-CN"/>
        </w:rPr>
        <w:t>深化</w:t>
      </w:r>
      <w:r>
        <w:rPr>
          <w:rFonts w:hint="eastAsia" w:ascii="仿宋_GB2312" w:hAnsi="仿宋_GB2312" w:eastAsia="仿宋_GB2312" w:cs="仿宋_GB2312"/>
          <w:color w:val="auto"/>
          <w:sz w:val="32"/>
          <w:szCs w:val="32"/>
        </w:rPr>
        <w:t>“证照分离”改革</w:t>
      </w:r>
      <w:r>
        <w:rPr>
          <w:rFonts w:hint="eastAsia" w:ascii="仿宋_GB2312" w:hAnsi="仿宋_GB2312" w:eastAsia="仿宋_GB2312" w:cs="仿宋_GB2312"/>
          <w:color w:val="auto"/>
          <w:sz w:val="32"/>
          <w:szCs w:val="32"/>
          <w:lang w:eastAsia="zh-CN"/>
        </w:rPr>
        <w:t>进一步激发市场主体发展活力</w:t>
      </w:r>
      <w:r>
        <w:rPr>
          <w:rFonts w:hint="eastAsia" w:ascii="仿宋_GB2312" w:hAnsi="仿宋_GB2312" w:eastAsia="仿宋_GB2312" w:cs="仿宋_GB2312"/>
          <w:color w:val="auto"/>
          <w:sz w:val="32"/>
          <w:szCs w:val="32"/>
        </w:rPr>
        <w:t>的通知》（国发〔20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，该事项在中国（云南）自由贸易试验区取消审批。</w:t>
      </w:r>
    </w:p>
    <w:sectPr>
      <w:pgSz w:w="11906" w:h="16838"/>
      <w:pgMar w:top="1440" w:right="1800" w:bottom="1440" w:left="1800" w:header="851" w:footer="45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AjdAgd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I3QIHUAAAACAEAAA8AAAAAAAAAAQAgAAAAIgAAAGRycy9kb3du&#10;cmV2LnhtbFBLAQIUABQAAAAIAIdO4kC/1B6YygEAAJYDAAAOAAAAAAAAAAEAIAAAACMBAABkcnMv&#10;ZTJvRG9jLnhtbFBLBQYAAAAABgAGAFkBAABf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C2C26"/>
    <w:multiLevelType w:val="singleLevel"/>
    <w:tmpl w:val="DBDC2C26"/>
    <w:lvl w:ilvl="0" w:tentative="0">
      <w:start w:val="1"/>
      <w:numFmt w:val="chineseCounting"/>
      <w:suff w:val="nothing"/>
      <w:lvlText w:val="（%1）"/>
      <w:lvlJc w:val="left"/>
      <w:pPr>
        <w:ind w:left="0" w:firstLine="420"/>
      </w:pPr>
      <w:rPr>
        <w:rFonts w:hint="eastAsia" w:ascii="楷体_GB2312" w:hAnsi="楷体_GB2312" w:eastAsia="楷体_GB2312" w:cs="楷体_GB2312"/>
        <w:sz w:val="30"/>
        <w:szCs w:val="30"/>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FFF434E2"/>
    <w:multiLevelType w:val="singleLevel"/>
    <w:tmpl w:val="FFF434E2"/>
    <w:lvl w:ilvl="0" w:tentative="0">
      <w:start w:val="1"/>
      <w:numFmt w:val="chineseCounting"/>
      <w:suff w:val="nothing"/>
      <w:lvlText w:val="（%1）"/>
      <w:lvlJc w:val="left"/>
      <w:pPr>
        <w:ind w:left="0" w:firstLine="420"/>
      </w:pPr>
      <w:rPr>
        <w:rFonts w:hint="eastAsia" w:eastAsia="楷体_GB2312"/>
      </w:rPr>
    </w:lvl>
  </w:abstractNum>
  <w:abstractNum w:abstractNumId="3">
    <w:nsid w:val="1E602F03"/>
    <w:multiLevelType w:val="singleLevel"/>
    <w:tmpl w:val="1E602F0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NDYyMGU0MWFhYWEyOGMxNzlmOGQwYjFmNTllM2EifQ=="/>
  </w:docVars>
  <w:rsids>
    <w:rsidRoot w:val="60460683"/>
    <w:rsid w:val="008E36E7"/>
    <w:rsid w:val="01006C09"/>
    <w:rsid w:val="02DC3D0B"/>
    <w:rsid w:val="07322C75"/>
    <w:rsid w:val="11666B9B"/>
    <w:rsid w:val="15C45AA5"/>
    <w:rsid w:val="1A76236A"/>
    <w:rsid w:val="1F1B21C0"/>
    <w:rsid w:val="20EB7853"/>
    <w:rsid w:val="2C4238D4"/>
    <w:rsid w:val="2C662967"/>
    <w:rsid w:val="2E5965A4"/>
    <w:rsid w:val="327813A8"/>
    <w:rsid w:val="36B37386"/>
    <w:rsid w:val="4052079C"/>
    <w:rsid w:val="43CB3073"/>
    <w:rsid w:val="51692981"/>
    <w:rsid w:val="59976E94"/>
    <w:rsid w:val="60460683"/>
    <w:rsid w:val="712D6D35"/>
    <w:rsid w:val="73CF4676"/>
    <w:rsid w:val="784A05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6</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2023-08-18T08:45:00Z</dcterms:created>
  <dc:creator>郭玥琳</dc:creator>
  <cp:lastModifiedBy>DELL</cp:lastModifiedBy>
  <dcterms:modified xsi:type="dcterms:W3CDTF">2023-12-08T01:52:22Z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3A7E3FEDEC834933ABFE0C890F0F588D_13</vt:lpwstr>
  </property>
  <property fmtid="{D5CDD505-2E9C-101B-9397-08002B2CF9AE}" pid="3" name="KSOProductBuildVer">
    <vt:lpwstr>2052-12.1.0.15336</vt:lpwstr>
  </property>
</Properties>
</file>